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005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BlackRock Investment Management(UK) Ltd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12 Throgmorton Avenue, London EC2N 2DL, UK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BlackRock</w:t>
            </w:r>
          </w:p>
        </w:tc>
        <w:tc>
          <w:tcPr>
            <w:tcW w:type="dxa" w:w="2880"/>
          </w:tcPr>
          <w:p>
            <w:r>
              <w:t>14. Maerz 2023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0,54</w:t>
            </w:r>
          </w:p>
        </w:tc>
        <w:tc>
          <w:tcPr>
            <w:tcW w:type="dxa" w:w="2880"/>
          </w:tcPr>
          <w:p>
            <w:r>
              <w:t>0,42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337.500</w:t>
            </w:r>
          </w:p>
        </w:tc>
        <w:tc>
          <w:tcPr>
            <w:tcW w:type="dxa" w:w="2880"/>
          </w:tcPr>
          <w:p>
            <w:r>
              <w:t>262.500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14. Maerz 2023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