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Netto-Leerverkaufsposition – Meldung Nr. 019 (VO (EU) 236/2012)</w:t>
      </w:r>
    </w:p>
    <w:p/>
    <w:p>
      <w:pPr>
        <w:pStyle w:val="Heading3"/>
      </w:pPr>
      <w:r>
        <w:t>1. Rechtsgrundlage</w:t>
      </w:r>
    </w:p>
    <w:p>
      <w:r>
        <w:t>Diese Mitteilung erfolgt gemaess Verordnung (EU) Nr. 236/2012 (Leerverkaufs-VO) i.V.m. § 2 Abs. 1 Nr. 30 WpHG. Mitgeteilt wird das Halten / die Veraenderung einer signifikanten Netto-Leerverkaufsposition in Aktien der Brennhagen Elektronik AG (ISIN DE000RHGRP12).</w:t>
      </w:r>
    </w:p>
    <w:p>
      <w:pPr>
        <w:pStyle w:val="Heading3"/>
      </w:pPr>
      <w:r>
        <w:t>2. Angaben zur meldenden Person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Angabe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WorldQuant LLC</w:t>
            </w:r>
          </w:p>
        </w:tc>
      </w:tr>
      <w:tr>
        <w:tc>
          <w:tcPr>
            <w:tcW w:type="dxa" w:w="4320"/>
          </w:tcPr>
          <w:p>
            <w:r>
              <w:t>Sitz</w:t>
            </w:r>
          </w:p>
        </w:tc>
        <w:tc>
          <w:tcPr>
            <w:tcW w:type="dxa" w:w="4320"/>
          </w:tcPr>
          <w:p>
            <w:r>
              <w:t>1700 East Putnam Avenue, Old Greenwich, CT 06870, USA</w:t>
            </w:r>
          </w:p>
        </w:tc>
      </w:tr>
      <w:tr>
        <w:tc>
          <w:tcPr>
            <w:tcW w:type="dxa" w:w="4320"/>
          </w:tcPr>
          <w:p>
            <w:r>
              <w:t>Rechtsform</w:t>
            </w:r>
          </w:p>
        </w:tc>
        <w:tc>
          <w:tcPr>
            <w:tcW w:type="dxa" w:w="4320"/>
          </w:tcPr>
          <w:p>
            <w:r>
              <w:t>Investmentgesellschaft / Asset Manager</w:t>
            </w:r>
          </w:p>
        </w:tc>
      </w:tr>
      <w:tr>
        <w:tc>
          <w:tcPr>
            <w:tcW w:type="dxa" w:w="4320"/>
          </w:tcPr>
          <w:p>
            <w:r>
              <w:t>LEI</w:t>
            </w:r>
          </w:p>
        </w:tc>
        <w:tc>
          <w:tcPr>
            <w:tcW w:type="dxa" w:w="4320"/>
          </w:tcPr>
          <w:p>
            <w:r>
              <w:t>529900XXXXXXXXXXX001</w:t>
            </w:r>
          </w:p>
        </w:tc>
      </w:tr>
    </w:tbl>
    <w:p>
      <w:pPr>
        <w:pStyle w:val="Heading3"/>
      </w:pPr>
      <w:r>
        <w:t>3. Angaben zur Netto-Leerverkaufsposition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</w:t>
            </w:r>
          </w:p>
        </w:tc>
        <w:tc>
          <w:tcPr>
            <w:tcW w:type="dxa" w:w="2880"/>
          </w:tcPr>
          <w:p>
            <w:r>
              <w:t>Nach</w:t>
            </w:r>
          </w:p>
        </w:tc>
      </w:tr>
      <w:tr>
        <w:tc>
          <w:tcPr>
            <w:tcW w:type="dxa" w:w="2880"/>
          </w:tcPr>
          <w:p>
            <w:r>
              <w:t>Datum der Position</w:t>
            </w:r>
          </w:p>
        </w:tc>
        <w:tc>
          <w:tcPr>
            <w:tcW w:type="dxa" w:w="2880"/>
          </w:tcPr>
          <w:p>
            <w:r>
              <w:t>vorherige Meldung WorldQuant</w:t>
            </w:r>
          </w:p>
        </w:tc>
        <w:tc>
          <w:tcPr>
            <w:tcW w:type="dxa" w:w="2880"/>
          </w:tcPr>
          <w:p>
            <w:r>
              <w:t>05. September 2023</w:t>
            </w:r>
          </w:p>
        </w:tc>
      </w:tr>
      <w:tr>
        <w:tc>
          <w:tcPr>
            <w:tcW w:type="dxa" w:w="2880"/>
          </w:tcPr>
          <w:p>
            <w:r>
              <w:t>Anteil am ausgegebenen Aktienkapital (%)</w:t>
            </w:r>
          </w:p>
        </w:tc>
        <w:tc>
          <w:tcPr>
            <w:tcW w:type="dxa" w:w="2880"/>
          </w:tcPr>
          <w:p>
            <w:r>
              <w:t>0,49</w:t>
            </w:r>
          </w:p>
        </w:tc>
        <w:tc>
          <w:tcPr>
            <w:tcW w:type="dxa" w:w="2880"/>
          </w:tcPr>
          <w:p>
            <w:r>
              <w:t>0,55</w:t>
            </w:r>
          </w:p>
        </w:tc>
      </w:tr>
      <w:tr>
        <w:tc>
          <w:tcPr>
            <w:tcW w:type="dxa" w:w="2880"/>
          </w:tcPr>
          <w:p>
            <w:r>
              <w:t>Anzahl Aktien (entspricht)</w:t>
            </w:r>
          </w:p>
        </w:tc>
        <w:tc>
          <w:tcPr>
            <w:tcW w:type="dxa" w:w="2880"/>
          </w:tcPr>
          <w:p>
            <w:r>
              <w:t>306.250</w:t>
            </w:r>
          </w:p>
        </w:tc>
        <w:tc>
          <w:tcPr>
            <w:tcW w:type="dxa" w:w="2880"/>
          </w:tcPr>
          <w:p>
            <w:r>
              <w:t>343.750</w:t>
            </w:r>
          </w:p>
        </w:tc>
      </w:tr>
      <w:tr>
        <w:tc>
          <w:tcPr>
            <w:tcW w:type="dxa" w:w="2880"/>
          </w:tcPr>
          <w:p>
            <w:r>
              <w:t>Schwelle gemaess EU-VO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  <w:tc>
          <w:tcPr>
            <w:tcW w:type="dxa" w:w="2880"/>
          </w:tcPr>
          <w:p>
            <w:r>
              <w:t>0,50 %</w:t>
            </w:r>
          </w:p>
        </w:tc>
      </w:tr>
    </w:tbl>
    <w:p>
      <w:pPr>
        <w:pStyle w:val="Heading3"/>
      </w:pPr>
      <w:r>
        <w:t>4. Berechnung</w:t>
      </w:r>
    </w:p>
    <w:p>
      <w:r>
        <w:t>Die Netto-Leerverkaufsposition wurde gemaess Art. 3 der VO (EU) 236/2012 in der konsolidierten Form berechnet (Bruttoposition minus gehaltene Long-Position bzw. wirtschaftlich aequivalente Instrumente). Beruecksichtigt wurden alle Cash-Aktien, Total Return Swaps, Index-Komponenten sowie Optionsdelta.</w:t>
      </w:r>
    </w:p>
    <w:p>
      <w:pPr>
        <w:pStyle w:val="Heading3"/>
      </w:pPr>
      <w:r>
        <w:t>5. Veroeffentlichung und Notifizierung</w:t>
      </w:r>
    </w:p>
    <w:p>
      <w:r>
        <w:t>Die Mitteilung wurde am angegebenen Datum vor 15:30 Uhr MEZ an die BaFin uebermittelt; die Veroeffentlichung im BaFin Netto-Leerverkaufs-Register erfolgte am Folgetag um 22:00 Uhr. Eine Information an den Emittenten erfolgt nachrichtlich.</w:t>
      </w:r>
    </w:p>
    <w:p>
      <w:pPr>
        <w:pStyle w:val="Heading3"/>
      </w:pPr>
      <w:r>
        <w:t>6. Ansprechpartner Emittent</w:t>
      </w:r>
    </w:p>
    <w:p>
      <w:r>
        <w:t>Brennhagen Elektronik AG, Investor Relations, Frau Dr. Annika Felder. Diese Mitteilung wurde am 05. September 2023 im IR-Dossier des Emittenten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