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ISIN DE000RHGRP12  |  WKN RHGRP1  |  HRB 726451, Amtsgericht Stuttgart  |  Prime Standard, Frankfurter Wertpapierbörse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WpHG-Stimmrechtsmitteilung Nr. 008 (§§ 33, 38 WpHG)</w:t>
      </w:r>
    </w:p>
    <w:p/>
    <w:p>
      <w:pPr>
        <w:pStyle w:val="Heading3"/>
      </w:pPr>
      <w:r>
        <w:t>1. Mitteilungspflicht nach §§ 33, 38 WpHG</w:t>
      </w:r>
    </w:p>
    <w:p>
      <w:r>
        <w:t>Hiermit teilt Capital Research and Management Company (333 South Hope Street, Los Angeles, CA, USA) gemaess §§ 33 ff. Wertpapierhandelsgesetz (WpHG) i.V.m. Art. 5 Abs. 1 Buchst. a) der Durchfuehrungsverordnung (EU) 2015/761 mit, dass durch eine am 14. September 2022 erfolgte Transaktion eine meldepflichtige Schwelle der Stimmrechte an der Brennhagen Elektronik AG (ISIN DE000RHGRP12) ueber- bzw. unterschritten wurde.</w:t>
      </w:r>
    </w:p>
    <w:p>
      <w:pPr>
        <w:pStyle w:val="Heading3"/>
      </w:pPr>
      <w:r>
        <w:t>2. Schwellenangabe und Stimmrechtsanteil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Vor Transaktion</w:t>
            </w:r>
          </w:p>
        </w:tc>
        <w:tc>
          <w:tcPr>
            <w:tcW w:type="dxa" w:w="2880"/>
          </w:tcPr>
          <w:p>
            <w:r>
              <w:t>Nach Transaktion</w:t>
            </w:r>
          </w:p>
        </w:tc>
      </w:tr>
      <w:tr>
        <w:tc>
          <w:tcPr>
            <w:tcW w:type="dxa" w:w="2880"/>
          </w:tcPr>
          <w:p>
            <w:r>
              <w:t>Schwelle (§ 33 WpHG)</w:t>
            </w:r>
          </w:p>
        </w:tc>
        <w:tc>
          <w:tcPr>
            <w:tcW w:type="dxa" w:w="2880"/>
          </w:tcPr>
          <w:p>
            <w:r>
              <w:t>4,87</w:t>
            </w:r>
          </w:p>
        </w:tc>
        <w:tc>
          <w:tcPr>
            <w:tcW w:type="dxa" w:w="2880"/>
          </w:tcPr>
          <w:p>
            <w:r>
              <w:t>5,02</w:t>
            </w:r>
          </w:p>
        </w:tc>
      </w:tr>
      <w:tr>
        <w:tc>
          <w:tcPr>
            <w:tcW w:type="dxa" w:w="2880"/>
          </w:tcPr>
          <w:p>
            <w:r>
              <w:t>Stimmrechtsanteil (%)</w:t>
            </w:r>
          </w:p>
        </w:tc>
        <w:tc>
          <w:tcPr>
            <w:tcW w:type="dxa" w:w="2880"/>
          </w:tcPr>
          <w:p>
            <w:r>
              <w:t>4,87</w:t>
            </w:r>
          </w:p>
        </w:tc>
        <w:tc>
          <w:tcPr>
            <w:tcW w:type="dxa" w:w="2880"/>
          </w:tcPr>
          <w:p>
            <w:r>
              <w:t>5,02</w:t>
            </w:r>
          </w:p>
        </w:tc>
      </w:tr>
      <w:tr>
        <w:tc>
          <w:tcPr>
            <w:tcW w:type="dxa" w:w="2880"/>
          </w:tcPr>
          <w:p>
            <w:r>
              <w:t>Stimmrechte (Stueck)</w:t>
            </w:r>
          </w:p>
        </w:tc>
        <w:tc>
          <w:tcPr>
            <w:tcW w:type="dxa" w:w="2880"/>
          </w:tcPr>
          <w:p>
            <w:r>
              <w:t>3.043.750</w:t>
            </w:r>
          </w:p>
        </w:tc>
        <w:tc>
          <w:tcPr>
            <w:tcW w:type="dxa" w:w="2880"/>
          </w:tcPr>
          <w:p>
            <w:r>
              <w:t>3.137.499</w:t>
            </w:r>
          </w:p>
        </w:tc>
      </w:tr>
      <w:tr>
        <w:tc>
          <w:tcPr>
            <w:tcW w:type="dxa" w:w="2880"/>
          </w:tcPr>
          <w:p>
            <w:r>
              <w:t>Instrumente (§ 38 WpHG)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  <w:tc>
          <w:tcPr>
            <w:tcW w:type="dxa" w:w="2880"/>
          </w:tcPr>
          <w:p>
            <w:r>
              <w:t>0,00 %</w:t>
            </w:r>
          </w:p>
        </w:tc>
      </w:tr>
    </w:tbl>
    <w:p>
      <w:pPr>
        <w:pStyle w:val="Heading3"/>
      </w:pPr>
      <w:r>
        <w:t>3. Art der Stimmrechtsausuebung</w:t>
      </w:r>
    </w:p>
    <w:p>
      <w:r>
        <w:t>Die Stimmrechte werden unmittelbar gemaess § 33 WpHG gehalten. Eine Zurechnung nach § 34 WpHG erfolgt – soweit einschlaegig – ueber Tochterunternehmen im Sinne der konsolidierten Konzernrechnungslegung der mitteilungspflichtigen Person.</w:t>
      </w:r>
    </w:p>
    <w:p>
      <w:r>
        <w:t>Es bestehen keine Stimmrechtsvereinbarungen (Acting-in-concert i.S.d. § 34 Abs. 2 WpHG) mit Dritten in Bezug auf die Aktien des Emittenten.</w:t>
      </w:r>
    </w:p>
    <w:p>
      <w:pPr>
        <w:pStyle w:val="Heading3"/>
      </w:pPr>
      <w:r>
        <w:t>4. Finanzinstrumente i.S.d. § 38 WpHG</w:t>
      </w:r>
    </w:p>
    <w:p>
      <w:r>
        <w:t>Es werden derzeit keine Finanzinstrumente nach § 38 WpHG mit Bezug auf Aktien der Brennhagen Elektronik AG gehalten (insbesondere keine Optionen, Wandelschuldverschreibungen, Cash-settled Equity Swaps oder Contracts for Difference).</w:t>
      </w:r>
    </w:p>
    <w:p>
      <w:pPr>
        <w:pStyle w:val="Heading3"/>
      </w:pPr>
      <w:r>
        <w:t>5. Veroeffentlichung</w:t>
      </w:r>
    </w:p>
    <w:p>
      <w:r>
        <w:t>Die Mitteilung wurde am 14. September 2022 um 17:30 MEZ an die BaFin und den Emittenten uebermittelt. Veroeffentlichung erfolgt unverzueglich nach § 40 WpHG ueber das EQS Cockpit (DGAP) sowie das Unternehmensregister. Der Emittent leitet diese Mitteilung gleichzeitig den europaeischen Medien zur EU-weiten Verbreitung zu.</w:t>
      </w:r>
    </w:p>
    <w:p>
      <w:pPr>
        <w:pStyle w:val="Heading3"/>
      </w:pPr>
      <w:r>
        <w:t>6. Ansprechpartner</w:t>
      </w:r>
    </w:p>
    <w:p>
      <w:r>
        <w:t>Brennhagen Elektronik AG – Investor Relations</w:t>
        <w:br/>
        <w:t>Frau Dr. Annika Felder, Leiterin IR</w:t>
        <w:br/>
        <w:t>Vaihinger Straße 120, 70567 Stuttgart</w:t>
        <w:br/>
        <w:t>ir@brennhagen-elektronik.de / +49 711 4567-9100</w:t>
      </w:r>
    </w:p>
    <w:p>
      <w:r>
        <w:t>Stuttgart, 14. September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