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</w:t>
      </w:r>
    </w:p>
    <w:p>
      <w:r>
        <w:rPr>
          <w:sz w:val="18"/>
        </w:rPr>
        <w:t>Carl-Benz-Straße 14, 74076 Heilbronn  |  HRB 221456, AG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IC-REG-2022-03 – Brennhagen Elektronik GmbH → Brennhagen Software GmbH</w:t>
      </w:r>
    </w:p>
    <w:p/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IC-REG-2022-03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31. Maerz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01.03.2022 – 31.03.2022</w:t>
            </w:r>
          </w:p>
        </w:tc>
      </w:tr>
      <w:tr>
        <w:tc>
          <w:tcPr>
            <w:tcW w:type="dxa" w:w="4320"/>
          </w:tcPr>
          <w:p>
            <w:r>
              <w:t>Leistungserbringer</w:t>
            </w:r>
          </w:p>
        </w:tc>
        <w:tc>
          <w:tcPr>
            <w:tcW w:type="dxa" w:w="4320"/>
          </w:tcPr>
          <w:p>
            <w:r>
              <w:t>Brennhagen Elektronik GmbH (REG), Heilbronn</w:t>
            </w:r>
          </w:p>
        </w:tc>
      </w:tr>
      <w:tr>
        <w:tc>
          <w:tcPr>
            <w:tcW w:type="dxa" w:w="4320"/>
          </w:tcPr>
          <w:p>
            <w:r>
              <w:t>Leistungsempfaenger</w:t>
            </w:r>
          </w:p>
        </w:tc>
        <w:tc>
          <w:tcPr>
            <w:tcW w:type="dxa" w:w="4320"/>
          </w:tcPr>
          <w:p>
            <w:r>
              <w:t>Brennhagen Software GmbH (RSG), Lyonel-Feininger-Straße 28, 80807 Muenchen</w:t>
            </w:r>
          </w:p>
        </w:tc>
      </w:tr>
      <w:tr>
        <w:tc>
          <w:tcPr>
            <w:tcW w:type="dxa" w:w="4320"/>
          </w:tcPr>
          <w:p>
            <w:r>
              <w:t>USt-IdNr. REG</w:t>
            </w:r>
          </w:p>
        </w:tc>
        <w:tc>
          <w:tcPr>
            <w:tcW w:type="dxa" w:w="4320"/>
          </w:tcPr>
          <w:p>
            <w:r>
              <w:t>DE 287 901 234</w:t>
            </w:r>
          </w:p>
        </w:tc>
      </w:tr>
      <w:tr>
        <w:tc>
          <w:tcPr>
            <w:tcW w:type="dxa" w:w="4320"/>
          </w:tcPr>
          <w:p>
            <w:r>
              <w:t>USt-IdNr. RSG</w:t>
            </w:r>
          </w:p>
        </w:tc>
        <w:tc>
          <w:tcPr>
            <w:tcW w:type="dxa" w:w="4320"/>
          </w:tcPr>
          <w:p>
            <w:r>
              <w:t>DE 287 901 567</w:t>
            </w:r>
          </w:p>
        </w:tc>
      </w:tr>
    </w:tbl>
    <w:p>
      <w:pPr>
        <w:pStyle w:val="Heading3"/>
      </w:pPr>
      <w:r>
        <w:t>Leistungsbeschreibung – Test- und Validierungsdienste Maerz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Stundensatz EUR</w:t>
            </w:r>
          </w:p>
        </w:tc>
        <w:tc>
          <w:tcPr>
            <w:tcW w:type="dxa" w:w="1728"/>
          </w:tcPr>
          <w:p>
            <w:r>
              <w:t>Betrag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EMV-Pruefstand REG (BMS-12 Validierung)</w:t>
            </w:r>
          </w:p>
        </w:tc>
        <w:tc>
          <w:tcPr>
            <w:tcW w:type="dxa" w:w="1728"/>
          </w:tcPr>
          <w:p>
            <w:r>
              <w:t>120 Std.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19.800,00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Klimakammer-Test (Burn-in, -40 / +85 °C)</w:t>
            </w:r>
          </w:p>
        </w:tc>
        <w:tc>
          <w:tcPr>
            <w:tcW w:type="dxa" w:w="1728"/>
          </w:tcPr>
          <w:p>
            <w:r>
              <w:t xml:space="preserve"> 80 Std.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11.200,00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Funktionsmusterbau ICP-3-Engineering-Sample</w:t>
            </w:r>
          </w:p>
        </w:tc>
        <w:tc>
          <w:tcPr>
            <w:tcW w:type="dxa" w:w="1728"/>
          </w:tcPr>
          <w:p>
            <w:r>
              <w:t xml:space="preserve"> 24 Stck.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6.840,00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Cost-Plus-Aufschlag 6,0 % (TP)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2.270,40</w:t>
            </w:r>
          </w:p>
        </w:tc>
      </w:tr>
      <w:tr>
        <w:tc>
          <w:tcPr>
            <w:tcW w:type="dxa" w:w="1728"/>
          </w:tcPr>
          <w:p>
            <w:r>
              <w:t>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40.110,40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Verrechnungspreismethode</w:t>
      </w:r>
    </w:p>
    <w:p>
      <w:r>
        <w:t>Die Verrechnung erfolgt nach Cost-Plus-Methode (TNMM-Bestaetigung). Der Aufschlagssatz von 6,0 % entspricht dem Median der Benchmark fuer Pruef-/Validierungs-Dienstleistungen zwischen verbundenen Unternehmen (KPMG-Benchmark 2021, Bandbreite 4,5 %–7,2 %, Median 5,9 %).</w:t>
      </w:r>
    </w:p>
    <w:p>
      <w:pPr>
        <w:pStyle w:val="Heading3"/>
      </w:pPr>
      <w:r>
        <w:t>Zahlung und Verbuchung</w:t>
      </w:r>
    </w:p>
    <w:p>
      <w:r>
        <w:t>Faelligkeit 30 Tage nach Rechnungsdatum (Zahlungsziel: 30.04.2022), Saldierung ueber den Brennhagen-Cash-Pool (Master-Konto Brennhagen Holding GmbH bei der Deutschen Bank AG, IBAN DE89 6007 0024 0726 4510 00). Der physische Zahlungsausgleich erfolgt im Rahmen der quartalsweisen Cash-Pool-Saldierung durch den Group Treasurer Markus Pflanzer.</w:t>
      </w:r>
    </w:p>
    <w:p>
      <w:r>
        <w:t>Buchungsvorgang im SAP S/4HANA (Mandant 100, Buchungskreis REG): Belegart RV, Konto 60040 (IC-Erloese Test/Validierung), Gegenkonto 67050 RSG (IC-Aufwand). Konsolidierungs-Mapping fuer das Konzern-Reporting: Eliminierung gegen RSG-Belegart KR, dokumentiert in der monatlichen IC-Matching-Liste durch Florian Maier (Group Controller).</w:t>
      </w:r>
    </w:p>
    <w:p>
      <w:pPr>
        <w:pStyle w:val="Heading3"/>
      </w:pPr>
      <w:r>
        <w:t>Hinweise zur Compliance</w:t>
      </w:r>
    </w:p>
    <w:p>
      <w:r>
        <w:t>Diese Leistungsverrechnung wurde durch den Group-Tax-Director Dr. Heike Berger im Rahmen der konzernweiten Transferpreis-Compliance freigegeben (Freigabe-Memo TP-2022-007). Die Local-File-Dokumentation 2022 fuer beide Gesellschaften referenziert diesen Vertragstyp explizit (Lohnveredelung und konzerninterne Dienstleistungen). Eine Master-File-Aktualisierung erfolgt jaehrlich zentral durch die KPMG AG WPG (Stuttgart) bis zum 31.12. des Folgejahres.</w:t>
      </w:r>
    </w:p>
    <w:p>
      <w:pPr>
        <w:pStyle w:val="Heading3"/>
      </w:pPr>
      <w:r>
        <w:t>Unterschriften</w:t>
      </w:r>
    </w:p>
    <w:p>
      <w:r>
        <w:t>Ort, Datum: Heilbronn / Muenchen, den 31. Maerz 2022</w:t>
      </w:r>
    </w:p>
    <w:p>
      <w:r>
        <w:t>_________________________            _________________________</w:t>
        <w:br/>
        <w:t>Andreas Maier                          Dr. Klaus Kessler</w:t>
        <w:br/>
        <w:t>Werkleiter                          Werkleiter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