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Projekt-Statusbericht – Radar Fusion Steuergeraet ADAS-V4D (Stand 2023)</w:t>
      </w:r>
    </w:p>
    <w:p>
      <w:pPr>
        <w:jc w:val="center"/>
      </w:pPr>
      <w:r>
        <w:t>Programm-Status fuer interne Steuerung; vorgelegt im Programm-Management-Office (PMO)</w:t>
      </w:r>
    </w:p>
    <w:p/>
    <w:p>
      <w:pPr>
        <w:pStyle w:val="Heading3"/>
      </w:pPr>
      <w:r>
        <w:t>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Projekt-Nummer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Radar Fusion Steuergeraet ADAS-V4D</w:t>
            </w:r>
          </w:p>
        </w:tc>
      </w:tr>
      <w:tr>
        <w:tc>
          <w:tcPr>
            <w:tcW w:type="dxa" w:w="4320"/>
          </w:tcPr>
          <w:p>
            <w:r>
              <w:t>Programm-Manager</w:t>
            </w:r>
          </w:p>
        </w:tc>
        <w:tc>
          <w:tcPr>
            <w:tcW w:type="dxa" w:w="4320"/>
          </w:tcPr>
          <w:p>
            <w:r>
              <w:t>n. n. (zugewiesen Q3 2023)</w:t>
            </w:r>
          </w:p>
        </w:tc>
      </w:tr>
      <w:tr>
        <w:tc>
          <w:tcPr>
            <w:tcW w:type="dxa" w:w="4320"/>
          </w:tcPr>
          <w:p>
            <w:r>
              <w:t>Projektleiter Software (RSG)</w:t>
            </w:r>
          </w:p>
        </w:tc>
        <w:tc>
          <w:tcPr>
            <w:tcW w:type="dxa" w:w="4320"/>
          </w:tcPr>
          <w:p>
            <w:r>
              <w:t>Lars Wittmann</w:t>
            </w:r>
          </w:p>
        </w:tc>
      </w:tr>
      <w:tr>
        <w:tc>
          <w:tcPr>
            <w:tcW w:type="dxa" w:w="4320"/>
          </w:tcPr>
          <w:p>
            <w:r>
              <w:t>Werkleiter REG</w:t>
            </w:r>
          </w:p>
        </w:tc>
        <w:tc>
          <w:tcPr>
            <w:tcW w:type="dxa" w:w="4320"/>
          </w:tcPr>
          <w:p>
            <w:r>
              <w:t>Andreas Maier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Q2 2023</w:t>
            </w:r>
          </w:p>
        </w:tc>
      </w:tr>
      <w:tr>
        <w:tc>
          <w:tcPr>
            <w:tcW w:type="dxa" w:w="4320"/>
          </w:tcPr>
          <w:p>
            <w:r>
              <w:t>Aktueller Status</w:t>
            </w:r>
          </w:p>
        </w:tc>
        <w:tc>
          <w:tcPr>
            <w:tcW w:type="dxa" w:w="4320"/>
          </w:tcPr>
          <w:p>
            <w:r>
              <w:t>On Track / Watch (siehe Risiken)</w:t>
            </w:r>
          </w:p>
        </w:tc>
      </w:tr>
    </w:tbl>
    <w:p>
      <w:pPr>
        <w:pStyle w:val="Heading3"/>
      </w:pPr>
      <w:r>
        <w:t>Projektfortschritt</w:t>
      </w:r>
    </w:p>
    <w:p>
      <w:r>
        <w:t>Der aktuelle Status zum 2023 liegt im Wesentlichen im Plan. Wesentliche Meilensteine der DV-Phase (B-Muster) wurden erreicht; PV-Phase (C-Muster) startet planmaessig im Folgequartal. Software-Stack RSG Muenchen ASPICE Level 2 erreicht; Level 3 in Q4 angestrebt.</w:t>
      </w:r>
    </w:p>
    <w:p>
      <w:pPr>
        <w:pStyle w:val="Heading3"/>
      </w:pPr>
      <w:r>
        <w:t>Meilensteine und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Meilenstein</w:t>
            </w:r>
          </w:p>
        </w:tc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A-Muster</w:t>
            </w:r>
          </w:p>
        </w:tc>
        <w:tc>
          <w:tcPr>
            <w:tcW w:type="dxa" w:w="2880"/>
          </w:tcPr>
          <w:p>
            <w:r>
              <w:t>Q4 2022</w:t>
            </w:r>
          </w:p>
        </w:tc>
        <w:tc>
          <w:tcPr>
            <w:tcW w:type="dxa" w:w="2880"/>
          </w:tcPr>
          <w:p>
            <w:r>
              <w:t>Erreicht</w:t>
            </w:r>
          </w:p>
        </w:tc>
      </w:tr>
      <w:tr>
        <w:tc>
          <w:tcPr>
            <w:tcW w:type="dxa" w:w="2880"/>
          </w:tcPr>
          <w:p>
            <w:r>
              <w:t>B-Muster (DV)</w:t>
            </w:r>
          </w:p>
        </w:tc>
        <w:tc>
          <w:tcPr>
            <w:tcW w:type="dxa" w:w="2880"/>
          </w:tcPr>
          <w:p>
            <w:r>
              <w:t>Q2 2023</w:t>
            </w:r>
          </w:p>
        </w:tc>
        <w:tc>
          <w:tcPr>
            <w:tcW w:type="dxa" w:w="2880"/>
          </w:tcPr>
          <w:p>
            <w:r>
              <w:t>Erreicht (mit 4 Wochen Verzug)</w:t>
            </w:r>
          </w:p>
        </w:tc>
      </w:tr>
      <w:tr>
        <w:tc>
          <w:tcPr>
            <w:tcW w:type="dxa" w:w="2880"/>
          </w:tcPr>
          <w:p>
            <w:r>
              <w:t>C-Muster (PV)</w:t>
            </w:r>
          </w:p>
        </w:tc>
        <w:tc>
          <w:tcPr>
            <w:tcW w:type="dxa" w:w="2880"/>
          </w:tcPr>
          <w:p>
            <w:r>
              <w:t>Q4 2023</w:t>
            </w:r>
          </w:p>
        </w:tc>
        <w:tc>
          <w:tcPr>
            <w:tcW w:type="dxa" w:w="2880"/>
          </w:tcPr>
          <w:p>
            <w:r>
              <w:t>in Vorbereitung</w:t>
            </w:r>
          </w:p>
        </w:tc>
      </w:tr>
      <w:tr>
        <w:tc>
          <w:tcPr>
            <w:tcW w:type="dxa" w:w="2880"/>
          </w:tcPr>
          <w:p>
            <w:r>
              <w:t>PPAP Submission</w:t>
            </w:r>
          </w:p>
        </w:tc>
        <w:tc>
          <w:tcPr>
            <w:tcW w:type="dxa" w:w="2880"/>
          </w:tcPr>
          <w:p>
            <w:r>
              <w:t>Q1 2024</w:t>
            </w:r>
          </w:p>
        </w:tc>
        <w:tc>
          <w:tcPr>
            <w:tcW w:type="dxa" w:w="2880"/>
          </w:tcPr>
          <w:p>
            <w:r>
              <w:t>Plan</w:t>
            </w:r>
          </w:p>
        </w:tc>
      </w:tr>
      <w:tr>
        <w:tc>
          <w:tcPr>
            <w:tcW w:type="dxa" w:w="2880"/>
          </w:tcPr>
          <w:p>
            <w:r>
              <w:t>SOP</w:t>
            </w:r>
          </w:p>
        </w:tc>
        <w:tc>
          <w:tcPr>
            <w:tcW w:type="dxa" w:w="2880"/>
          </w:tcPr>
          <w:p>
            <w:r>
              <w:t>Q2 2023</w:t>
            </w:r>
          </w:p>
        </w:tc>
        <w:tc>
          <w:tcPr>
            <w:tcW w:type="dxa" w:w="2880"/>
          </w:tcPr>
          <w:p>
            <w:r>
              <w:t>Plan</w:t>
            </w:r>
          </w:p>
        </w:tc>
      </w:tr>
    </w:tbl>
    <w:p>
      <w:pPr>
        <w:pStyle w:val="Heading3"/>
      </w:pPr>
      <w:r>
        <w:t>Risiken und Mitigation</w:t>
      </w:r>
    </w:p>
    <w:p>
      <w:pPr>
        <w:pStyle w:val="ListBullet"/>
      </w:pPr>
      <w:r>
        <w:t>R-01 Halbleiter-Allokation Nvidia Orin (ADAS-V4D): Mitigation 2nd-Source-Pruefung Qualcomm Snapdragon Ride; Status Pruefung</w:t>
      </w:r>
    </w:p>
    <w:p>
      <w:pPr>
        <w:pStyle w:val="ListBullet"/>
      </w:pPr>
      <w:r>
        <w:t>R-02 Software-Validierung ASPICE Level 3 Verzug 8 Wochen: Mitigation Verstaerkung Team RSG (+4 FTE)</w:t>
      </w:r>
    </w:p>
    <w:p>
      <w:pPr>
        <w:pStyle w:val="ListBullet"/>
      </w:pPr>
      <w:r>
        <w:t>R-03 Werkzeug-Aufbau Linie 1 REG: Status on track; geringes Risiko</w:t>
      </w:r>
    </w:p>
    <w:p>
      <w:pPr>
        <w:pStyle w:val="ListBullet"/>
      </w:pPr>
      <w:r>
        <w:t>R-04 Material-Eskalation Steckverbinder: Mitigation 2nd-Source Molex laeuft Re-PPAP</w:t>
      </w:r>
    </w:p>
    <w:p>
      <w:pPr>
        <w:pStyle w:val="Heading3"/>
      </w:pPr>
      <w:r>
        <w:t>Budget und Investitionen</w:t>
      </w:r>
    </w:p>
    <w:p>
      <w:r>
        <w:t>Plan-Budget Programm: 14,2 Mio. EUR Engineering + 28,4 Mio. EUR Werkzeuge / Kapital. Verbrauch Stand 2023: 65 % Engineering / 48 % Werkzeuge (planmaessig). Re-Forecast End-Programm: Engineering 14,8 Mio. EUR (+4 %) / Werkzeuge 28,1 Mio. EUR (unter Plan).</w:t>
      </w:r>
    </w:p>
    <w:p>
      <w:pPr>
        <w:pStyle w:val="Heading3"/>
      </w:pPr>
      <w:r>
        <w:t>Naechste Schritte</w:t>
      </w:r>
    </w:p>
    <w:p>
      <w:r>
        <w:t>Naechster Status-Termin: monatlich im PMO-Review. Eskalation R-02 (ASPICE Verzug) an CTO (Stefan Hoffmann) am Folgetermin. Programm-Manager-Benennung verbindlich bis +30 AT. Werks-Kapazitaet-Bestaetigung durch A. Maier zum Halbjahr.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Hoffmann                          Andreas Maier</w:t>
        <w:br/>
        <w:t>CTO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