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/ Auftragsbestaetigung BMW Group – Radar Fusion Steuergeraet ADAS-V4D (2022)</w:t>
      </w:r>
    </w:p>
    <w:p>
      <w:pPr>
        <w:jc w:val="center"/>
      </w:pPr>
      <w:r>
        <w:t>Verbindliche Programmvergabe an Brennhagen Elektronik AG</w:t>
      </w:r>
    </w:p>
    <w:p/>
    <w:p>
      <w:pPr>
        <w:pStyle w:val="Heading3"/>
      </w:pPr>
      <w:r>
        <w:t>Adressat / Vorgang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BMW-ADAS-V4D-RFQ-2022 vom Februar 2022; Angebot Brennhagen vom 15. April 2022; Nachverhandlung 12. Mai 2022 (Teilnehmer Brennhagen: Stefan Richter CMO, n. n. Programm-Manager; Kunde: Dr. Markus Heller, Head of Purchasing Electronics).</w:t>
      </w:r>
    </w:p>
    <w:p>
      <w:pPr>
        <w:pStyle w:val="Heading3"/>
      </w:pPr>
      <w:r>
        <w:t>Programm-Vergabe</w:t>
      </w:r>
    </w:p>
    <w:p>
      <w:r>
        <w:t>Hiermit bestaetigt Bayerische Motoren Werke AG die Vergabe des Programms »Radar Fusion Steuergeraet ADAS-V4D fuer Plattform BMW-Generation 2022« an die Brennhagen Elektronik AG als Tier-1-Lieferantin. Voraussichtliches Programmvolumen: 180 Mio. EUR ueber 4 Jahre Serien-Laufzeit (SOP Q2 2023 / EOP Q4 2026).</w:t>
      </w:r>
    </w:p>
    <w:p>
      <w:pPr>
        <w:pStyle w:val="Heading3"/>
      </w:pPr>
      <w:r>
        <w:t>Programmdaten</w:t>
      </w:r>
    </w:p>
    <w:p>
      <w:r>
        <w:t>Produkt: Radar Fusion Steuergeraet ADAS-V4D</w:t>
        <w:br/>
        <w:t>Kurzbeschreibung: Level-2/3 ADAS-Steuergeraet mit 4D-Radar-Fusion (Nvidia Orin SoC. 77-GHz Front + Side Radar)</w:t>
        <w:br/>
        <w:t>Sicherheitsklassifizierung: ASIL-D (ISO 26262); IATF 16949 zertifizierter Fertigungsstandort.</w:t>
        <w:br/>
        <w:t>Fertigungsstandort: Brennhagen Elektronik GmbH (REG). Heilbronn – Linie 1; Software-Stack RSG Muenchen (ASPICE Level 3)</w:t>
        <w:br/>
        <w:t>SOP-Ziel: Q2 2023; Lebenszyklus-Volumen Jahr 1 (Plan): 95.000 Einheiten</w:t>
        <w:br/>
        <w:t>Plan-Stueckpreis (EUR. EXW): 798.00</w:t>
      </w:r>
    </w:p>
    <w:p>
      <w:pPr>
        <w:pStyle w:val="Heading3"/>
      </w:pPr>
      <w:r>
        <w:t>Stueckzahl- und Preis-Eckdaten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95.000 Einheiten</w:t>
            </w:r>
          </w:p>
        </w:tc>
      </w:tr>
      <w:tr>
        <w:tc>
          <w:tcPr>
            <w:tcW w:type="dxa" w:w="4320"/>
          </w:tcPr>
          <w:p>
            <w:r>
              <w:t>Plan-Stueckpreis EXW (EUR)</w:t>
            </w:r>
          </w:p>
        </w:tc>
        <w:tc>
          <w:tcPr>
            <w:tcW w:type="dxa" w:w="4320"/>
          </w:tcPr>
          <w:p>
            <w:r>
              <w:t>798.00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Q2 2023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2026</w:t>
            </w:r>
          </w:p>
        </w:tc>
      </w:tr>
      <w:tr>
        <w:tc>
          <w:tcPr>
            <w:tcW w:type="dxa" w:w="4320"/>
          </w:tcPr>
          <w:p>
            <w:r>
              <w:t>Gesamtvolumen (Lebenszyklus)</w:t>
            </w:r>
          </w:p>
        </w:tc>
        <w:tc>
          <w:tcPr>
            <w:tcW w:type="dxa" w:w="4320"/>
          </w:tcPr>
          <w:p>
            <w:r>
              <w:t>180 Mio. EUR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1; Software-Stack RSG Muenchen (ASPICE Level 3)</w:t>
            </w:r>
          </w:p>
        </w:tc>
      </w:tr>
      <w:tr>
        <w:tc>
          <w:tcPr>
            <w:tcW w:type="dxa" w:w="4320"/>
          </w:tcPr>
          <w:p>
            <w:r>
              <w:t>Programm-Manager (vorl.)</w:t>
            </w:r>
          </w:p>
        </w:tc>
        <w:tc>
          <w:tcPr>
            <w:tcW w:type="dxa" w:w="4320"/>
          </w:tcPr>
          <w:p>
            <w:r>
              <w:t>wird binnen 14 Tagen benannt</w:t>
            </w:r>
          </w:p>
        </w:tc>
      </w:tr>
      <w:tr>
        <w:tc>
          <w:tcPr>
            <w:tcW w:type="dxa" w:w="4320"/>
          </w:tcPr>
          <w:p>
            <w:r>
              <w:t>EDI-Anbindung</w:t>
            </w:r>
          </w:p>
        </w:tc>
        <w:tc>
          <w:tcPr>
            <w:tcW w:type="dxa" w:w="4320"/>
          </w:tcPr>
          <w:p>
            <w:r>
              <w:t>VDA 4905 / 4915; ggfs. ANSI X.12 830/862</w:t>
            </w:r>
          </w:p>
        </w:tc>
      </w:tr>
    </w:tbl>
    <w:p>
      <w:pPr>
        <w:pStyle w:val="Heading3"/>
      </w:pPr>
      <w:r>
        <w:t>Naechste Schritte</w:t>
      </w:r>
    </w:p>
    <w:p>
      <w:pPr>
        <w:pStyle w:val="ListBullet"/>
      </w:pPr>
      <w:r>
        <w:t>Vertragsschluss Programm-Liefervertrag (Einzelvertrag): bis Ende Q3 2022</w:t>
      </w:r>
    </w:p>
    <w:p>
      <w:pPr>
        <w:pStyle w:val="ListBullet"/>
      </w:pPr>
      <w:r>
        <w:t>Lastenheft-/Pflichtenheft-Freigabe (»SOR / Statement of Requirements«): bis Ende Q2 2022</w:t>
      </w:r>
    </w:p>
    <w:p>
      <w:pPr>
        <w:pStyle w:val="ListBullet"/>
      </w:pPr>
      <w:r>
        <w:t>Erstmuster-Lieferung (PPAP Level 3 / VDA 2): 9 Monate vor SOP</w:t>
      </w:r>
    </w:p>
    <w:p>
      <w:pPr>
        <w:pStyle w:val="ListBullet"/>
      </w:pPr>
      <w:r>
        <w:t>Werkzeug- und Pruefmittel-Investitionsfreigabe: nach Vertragsschluss; Anschubfinanzierung Kunden-Tools max. 4 Mio. EUR (zu erstatten via Stueckpreis)</w:t>
      </w:r>
    </w:p>
    <w:p>
      <w:pPr>
        <w:pStyle w:val="ListBullet"/>
      </w:pPr>
      <w:r>
        <w:t>Q-Audit der Fertigungslinie (IATF 16949) durch SQE Herr Andreas Lechner: Q1 2023</w:t>
      </w:r>
    </w:p>
    <w:p>
      <w:pPr>
        <w:pStyle w:val="Heading3"/>
      </w:pPr>
      <w:r>
        <w:t>Vorbehalte / Bedingungen</w:t>
      </w:r>
    </w:p>
    <w:p>
      <w:r>
        <w:t>Vergabe steht unter Vorbehalt: (1) Erfolgreicher PPAP Level 3; (2) Erreichen ppm-Ziel &lt; 25 in Vorserie; (3) Bestaetigung Material-Pass-Through-Klausel; (4) Compliance mit OEM-Code-of-Conduct; (5) Erreichung des Investitionsentscheids des OEM-Lenkungskreises (»Decision Phase Gate«).</w:t>
      </w:r>
    </w:p>
    <w:p>
      <w:pPr>
        <w:pStyle w:val="Heading3"/>
      </w:pPr>
      <w:r>
        <w:t>Unterschriften</w:t>
      </w:r>
    </w:p>
    <w:p>
      <w:r>
        <w:t>Ort, Datum: 80809 Muenchen, den 22. Mai 2022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