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Radar Fusion Steuergeraet ADAS-V4D – 2022 Q4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BMW-ADAS-V4D-2022; Fertigungswerk Brennhagen Elektronik GmbH (REG), Heilbronn – Linie 1; Software-Stack RSG Muenchen (ASPICE Level 3); SOP-Status Q2 2023; aktuelle Berichtsperiode: 2022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23.845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19.1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97.1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9.6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BMW-ADAS-V4D liegt im Quartal 2022 Q4 im Wesentlichen im Plan. Die geplante Liefermenge wurde mit 147 %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97.1 %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Q4-Ende 2022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