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Radar Fusion Steuergeraet ADAS-V4D – 2023 Q3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BMW-ADAS-V4D-2023; Fertigungswerk Brennhagen Elektronik GmbH (REG), Heilbronn – Linie 1; Software-Stack RSG Muenchen (ASPICE Level 3); SOP-Status Q2 2023;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22.800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17.8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BMW-ADAS-V4D liegt im Quartal 2023 Q3 im Wesentlichen im Plan. Die geplante Liefermenge wurde mit 125 %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96.0 %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