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BMW-ECU-900-ECR-2023-003</w:t>
      </w:r>
    </w:p>
    <w:p>
      <w:pPr>
        <w:jc w:val="center"/>
      </w:pPr>
      <w:r>
        <w:t>Aenderungsantrag im Rahmen Programm BMW-ECU-900-2023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BMW-ECU-900-ECR-2023-003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BMW-ECU-900-2023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22.09.2023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Brennhagen (Wertanalyse)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Materialwechsel Power-MOSFET von Infineon IPB019N08N3G auf Infineon IAUC100N04S6L wegen Allokations-Risiko und besseren thermischen Eigenschaften (RDS_on -8 %). Stueckkostenanpassung -0,18 EUR. Re-PPAP Level 2.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ASIL-C-Level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-0,18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