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Quarterly Business Review BMW – Powertrain-ECU Gen3 (ECU-900) – 2023 Q1</w:t>
      </w:r>
    </w:p>
    <w:p>
      <w:pPr>
        <w:jc w:val="center"/>
      </w:pPr>
      <w:r>
        <w:t>Programm-Statusbericht zwischen Brennhagen Elektronik AG und BMW Group</w:t>
      </w:r>
    </w:p>
    <w:p/>
    <w:p>
      <w:pPr>
        <w:pStyle w:val="Heading3"/>
      </w:pPr>
      <w:r>
        <w:t>Teilnehmer</w:t>
      </w:r>
    </w:p>
    <w:p>
      <w:r>
        <w:t>Brennhagen: Stefan Richter (CMO), Programm-Manager (n. n.), Qualitaetsleitung Sabine Brand (REG), Werkleiter Andreas Maier (REG Heilbronn), bei Bedarf Stefan Hoffmann (CTO) bzw. ab 1.7.2024 Dr. Petra Hollmann (CTO).</w:t>
      </w:r>
    </w:p>
    <w:p>
      <w:r>
        <w:t>Kunde: Dr. Markus Heller (Head of Purchasing Electronics), Herr Andreas Lechner (SQE), Frau Stefanie Reiter (QMB-Werk).</w:t>
      </w:r>
    </w:p>
    <w:p>
      <w:r>
        <w:t>Format: 4 Stunden Praesenz / hybrid; Quartalsrhythmus; Vorlage 5 Werktage vor Termin.</w:t>
      </w:r>
    </w:p>
    <w:p>
      <w:pPr>
        <w:pStyle w:val="Heading3"/>
      </w:pPr>
      <w:r>
        <w:t>Bezug</w:t>
      </w:r>
    </w:p>
    <w:p>
      <w:r>
        <w:t>Programm BMW-ECU-900-2023; Fertigungswerk Brennhagen Elektronik GmbH (REG), Heilbronn – Linie 2; SMD via RPL Katowice; SOP-Status Q4 2022; aktuelle Berichtsperiode: 2023 Q1.</w:t>
      </w:r>
    </w:p>
    <w:p>
      <w:pPr>
        <w:pStyle w:val="Heading3"/>
      </w:pPr>
      <w:r>
        <w:t>KPI-Uebersicht (Berichtsquartal)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KPI</w:t>
            </w:r>
          </w:p>
        </w:tc>
        <w:tc>
          <w:tcPr>
            <w:tcW w:type="dxa" w:w="2160"/>
          </w:tcPr>
          <w:p>
            <w:r>
              <w:t>Ist</w:t>
            </w:r>
          </w:p>
        </w:tc>
        <w:tc>
          <w:tcPr>
            <w:tcW w:type="dxa" w:w="2160"/>
          </w:tcPr>
          <w:p>
            <w:r>
              <w:t>Ziel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Liefermenge Quartal (Tsd. Einheiten)</w:t>
            </w:r>
          </w:p>
        </w:tc>
        <w:tc>
          <w:tcPr>
            <w:tcW w:type="dxa" w:w="2160"/>
          </w:tcPr>
          <w:p>
            <w:r>
              <w:t>38.425</w:t>
            </w:r>
          </w:p>
        </w:tc>
        <w:tc>
          <w:tcPr>
            <w:tcW w:type="dxa" w:w="2160"/>
          </w:tcPr>
          <w:p>
            <w:r>
              <w:t>36.250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Umsatz Quartal (Mio. EUR)</w:t>
            </w:r>
          </w:p>
        </w:tc>
        <w:tc>
          <w:tcPr>
            <w:tcW w:type="dxa" w:w="2160"/>
          </w:tcPr>
          <w:p>
            <w:r>
              <w:t>7.8</w:t>
            </w:r>
          </w:p>
        </w:tc>
        <w:tc>
          <w:tcPr>
            <w:tcW w:type="dxa" w:w="2160"/>
          </w:tcPr>
          <w:p>
            <w:r>
              <w:t>7.2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ppm (rollierend 3 Mon.)</w:t>
            </w:r>
          </w:p>
        </w:tc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&lt; 25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On-Time-Delivery OTD (%)</w:t>
            </w:r>
          </w:p>
        </w:tc>
        <w:tc>
          <w:tcPr>
            <w:tcW w:type="dxa" w:w="2160"/>
          </w:tcPr>
          <w:p>
            <w:r>
              <w:t>98.5</w:t>
            </w:r>
          </w:p>
        </w:tc>
        <w:tc>
          <w:tcPr>
            <w:tcW w:type="dxa" w:w="2160"/>
          </w:tcPr>
          <w:p>
            <w:r>
              <w:t>&gt; 98,5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Offene ECRs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&lt; 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Offene 8D-Reports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0-1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Forecast-Genauigkeit (+/- %)</w:t>
            </w:r>
          </w:p>
        </w:tc>
        <w:tc>
          <w:tcPr>
            <w:tcW w:type="dxa" w:w="2160"/>
          </w:tcPr>
          <w:p>
            <w:r>
              <w:t>11.0</w:t>
            </w:r>
          </w:p>
        </w:tc>
        <w:tc>
          <w:tcPr>
            <w:tcW w:type="dxa" w:w="2160"/>
          </w:tcPr>
          <w:p>
            <w:r>
              <w:t>&lt; 10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</w:tbl>
    <w:p>
      <w:pPr>
        <w:pStyle w:val="Heading3"/>
      </w:pPr>
      <w:r>
        <w:t>Programm-Status</w:t>
      </w:r>
    </w:p>
    <w:p>
      <w:r>
        <w:t>Das Programm BMW-ECU-900 liegt im Quartal 2023 Q1 im Wesentlichen im Plan. Die geplante Liefermenge wurde mit 175 % der vereinbarten Menge erfuellt. Der Stueckpreis ist gemaess Vertrag stabil bei 198.50 EUR EXW. Material-Pass-Through fuer Halbleiter wurde quartalsweise abgerechnet (Bewegung +/- 0,8 % gegenueber Vorquartal).</w:t>
      </w:r>
    </w:p>
    <w:p>
      <w:pPr>
        <w:pStyle w:val="Heading3"/>
      </w:pPr>
      <w:r>
        <w:t>Qualitaet (8D / Reklamationen)</w:t>
      </w:r>
    </w:p>
    <w:p>
      <w:r>
        <w:t>Im Berichtsquartal wurden insgesamt 3 8D-Reports erstellt; alle in Stufe D5 (Wirksamkeit der Massnahme) oder weiter fortgeschritten. Wesentliche Themen: Loetstellen-Toleranz an Power-MOSFET (geloest via DOE), Software-Bug Diagnose-Funktion (RSG-Patch v2.4.1), KLT-Beschaedigung Transport (Verpackungs-Re-Design mit Logistikpartner). Keine sicherheitsrelevanten Befunde, keine Feldausfaelle eskaliert.</w:t>
      </w:r>
    </w:p>
    <w:p>
      <w:pPr>
        <w:pStyle w:val="Heading3"/>
      </w:pPr>
      <w:r>
        <w:t>Logistik und Lieferperformance</w:t>
      </w:r>
    </w:p>
    <w:p>
      <w:r>
        <w:t>OTD im Berichtsquartal 98.5 % (Ziel &gt; 98,5 %). Sondertransporte: 4 (Vorquartal: 5), Kosten 18-32 TEUR – traegt Brennhagen. Frozen-Zone-Adherence durch Kunde 97 % (Ziel &gt; 95 %); Auswirkungen auf Werks-Auslastung adressiert.</w:t>
      </w:r>
    </w:p>
    <w:p>
      <w:pPr>
        <w:pStyle w:val="Heading3"/>
      </w:pPr>
      <w:r>
        <w:t>Engineering Change Requests (ECR)</w:t>
      </w:r>
    </w:p>
    <w:p>
      <w:r>
        <w:t>Offene ECRs: 6 (davon 3 in Bearbeitung, Rest in Angebotsphase). Wesentliche ECRs: ECR-001 Software-Update OTA-Capable (geplant Q2 2024), ECR-002 Connector-Wechsel (TE -&gt; Molex, Re-PPAP), ECR-003 RoHS-konforme Loetzinn-Substitution.</w:t>
      </w:r>
    </w:p>
    <w:p>
      <w:pPr>
        <w:pStyle w:val="Heading3"/>
      </w:pPr>
      <w:r>
        <w:t>Forecast und Volumenplanung</w:t>
      </w:r>
    </w:p>
    <w:p>
      <w:r>
        <w:t>Forecast Jahr+1 unveraendert 145.000 Einheiten (rollierend 12 Monate). Risikofaktoren: Halbleiter-Allokation TSMC N7/N5 (im Plan. jedoch ohne Puffer). BEV-Hochlauf Plattform BMW (Risiko Verzoegerung +/- 1 Quartal). Brennhagen-seitig Werks-Kapazitaet bestaetigt durch Werkleiter A. Maier.</w:t>
      </w:r>
    </w:p>
    <w:p>
      <w:pPr>
        <w:pStyle w:val="Heading3"/>
      </w:pPr>
      <w:r>
        <w:t>Aktionspunkte (Action Items)</w:t>
      </w:r>
    </w:p>
    <w:p>
      <w:pPr>
        <w:pStyle w:val="ListBullet"/>
      </w:pPr>
      <w:r>
        <w:t>AI-1: Brennhagen sendet 8D-Status Reports der laufenden 8Ds bis +10 AT an Herr Andreas Lechner</w:t>
      </w:r>
    </w:p>
    <w:p>
      <w:pPr>
        <w:pStyle w:val="ListBullet"/>
      </w:pPr>
      <w:r>
        <w:t>AI-2: Kunde liefert verbindliches Forecast-Update fuer 2023 H2 bis +20 AT</w:t>
      </w:r>
    </w:p>
    <w:p>
      <w:pPr>
        <w:pStyle w:val="ListBullet"/>
      </w:pPr>
      <w:r>
        <w:t>AI-3: Re-PPAP Connector-Wechsel (ECR-002) in Angebot bis +30 AT</w:t>
      </w:r>
    </w:p>
    <w:p>
      <w:pPr>
        <w:pStyle w:val="ListBullet"/>
      </w:pPr>
      <w:r>
        <w:t>AI-4: Joint Workshop Sondertransport-Reduktion in KW 15</w:t>
      </w:r>
    </w:p>
    <w:p>
      <w:pPr>
        <w:pStyle w:val="ListBullet"/>
      </w:pPr>
      <w:r>
        <w:t>AI-5: Naechster QBR-Termin 2023 Folge-Quartal</w:t>
      </w:r>
    </w:p>
    <w:p>
      <w:pPr>
        <w:pStyle w:val="Heading3"/>
      </w:pPr>
      <w:r>
        <w:t>Unterschriften</w:t>
      </w:r>
    </w:p>
    <w:p>
      <w:r>
        <w:t>Ort, Datum: Stuttgart, den Q1-Ende 2023 + 14 AT</w:t>
      </w:r>
    </w:p>
    <w:p>
      <w:r>
        <w:t>_________________________            _________________________</w:t>
        <w:br/>
        <w:t>Stefan Richter                          Dr. Markus Heller</w:t>
        <w:br/>
        <w:t>CMO / BD                          Head of Purchasing Electronics</w:t>
        <w:br/>
        <w:t>Brennhagen Elektronik AG                       Bayerische Motoren Werke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