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Powertrain-ECU Gen3 (ECU-900) – 2023 Q2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BMW-ECU-900-2023; Fertigungswerk Brennhagen Elektronik GmbH (REG), Heilbronn – Linie 2; SMD via RPL Katowice; SOP-Status Q4 2022; aktuelle Berichtsperiode: 2023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37.917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7.7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BMW-ECU-900 liegt im Quartal 2023 Q2 im Wesentlichen im Plan. Die geplante Liefermenge wurde mit 168 %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98.2 % (Ziel &gt; 98,5 %). Sondertransporte: 3 (Vorquartal: 5), Kosten 18-32 TEUR – traegt Brennhagen. Frozen-Zone-Adherence durch Kunde 97 %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6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Q2-Ende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