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Eskalationsbrief Lieferengpass BMW Group – 2021</w:t>
      </w:r>
    </w:p>
    <w:p>
      <w:pPr>
        <w:jc w:val="center"/>
      </w:pPr>
      <w:r>
        <w:t>Mitteilung gemaess Rahmenliefervertrag § 5 (Liefersicherheit) und Sofortmassnahmen</w:t>
      </w:r>
    </w:p>
    <w:p/>
    <w:p>
      <w:pPr>
        <w:pStyle w:val="Heading3"/>
      </w:pPr>
      <w:r>
        <w:t>Adressat</w:t>
      </w:r>
    </w:p>
    <w:p>
      <w:r>
        <w:t>Empfaengerin:</w:t>
        <w:br/>
        <w:t>Bayerische Motoren Werke AG</w:t>
        <w:br/>
        <w:t>Petuelring 130, 80809 Muenchen</w:t>
      </w:r>
    </w:p>
    <w:p>
      <w:r>
        <w:t>Ansprechpartner Einkauf: Dr. Markus Heller (Head of Purchasing Electronics)</w:t>
        <w:br/>
        <w:t>Werk / Bedarfsstelle: Werk Dingolfing / Werk Leipzig</w:t>
      </w:r>
    </w:p>
    <w:p>
      <w:r>
        <w:t>Absender:</w:t>
        <w:br/>
        <w:t>Brennhagen Elektronik AG, Vaihinger Straße 120, 70567 Stuttgart</w:t>
        <w:br/>
        <w:t>Verantwortlich: Stefan Richter (CMO / BD), Key-Account-Management OEM</w:t>
        <w:br/>
        <w:t>In Kopie: Anna Mueller (CEO), Laura Bauer (CFO)</w:t>
      </w:r>
    </w:p>
    <w:p>
      <w:pPr>
        <w:pStyle w:val="Heading3"/>
      </w:pPr>
      <w:r>
        <w:t>Eskalationsanlass</w:t>
      </w:r>
    </w:p>
    <w:p>
      <w:r>
        <w:t>Sehr geehrte/r Dr. Markus Heller,</w:t>
      </w:r>
    </w:p>
    <w:p>
      <w:r>
        <w:t>hiermit teilen wir Ihnen mit, dass die Brennhagen Elektronik AG ab KW 28 2021 mit einer kritischen Liefer-Unterdeckung fuer die Programme ICP-3, BMS-12, ECU-900 (kombinierte Wirkung: ca. 18-22 % der vereinbarten Liefermenge) konfrontiert sein wird. Ursache: ausserordentliche Halbleiter-Allokation bei Infineon (AURIX TC39x) und NXP (S32K3) infolge der Wafer-Knappheit bei TSMC N7.</w:t>
      </w:r>
    </w:p>
    <w:p>
      <w:pPr>
        <w:pStyle w:val="Heading3"/>
      </w:pPr>
      <w:r>
        <w:t>Geplante Massnahmen Brennhagen</w:t>
      </w:r>
    </w:p>
    <w:p>
      <w:pPr>
        <w:pStyle w:val="ListBullet"/>
      </w:pPr>
      <w:r>
        <w:t>Krisen-Task-Force unter Leitung Stefan Hoffmann (CTO) ab sofort etabliert; Tagungsfrequenz: 2x woechentlich (Mo/Do, 14:00).</w:t>
      </w:r>
    </w:p>
    <w:p>
      <w:pPr>
        <w:pStyle w:val="ListBullet"/>
      </w:pPr>
      <w:r>
        <w:t>Sofortige Verhandlung mit Infineon und NXP fuer Aufstockung der Allokation (Standorte Dresden, Regensburg, Toulouse).</w:t>
      </w:r>
    </w:p>
    <w:p>
      <w:pPr>
        <w:pStyle w:val="ListBullet"/>
      </w:pPr>
      <w:r>
        <w:t>Aufbau Sicherheitsbestand auf 4 Wochen (Kosten ca. 8,5 Mio. EUR; vorab vom Vorstand genehmigt).</w:t>
      </w:r>
    </w:p>
    <w:p>
      <w:pPr>
        <w:pStyle w:val="ListBullet"/>
      </w:pPr>
      <w:r>
        <w:t>Pruefung Cross-Production zwischen REG Heilbronn und RPL Katowice (SMD).</w:t>
      </w:r>
    </w:p>
    <w:p>
      <w:pPr>
        <w:pStyle w:val="ListBullet"/>
      </w:pPr>
      <w:r>
        <w:t>Wertanalyse / Re-Design Eskalation: Pruefung alternativer MCUs (Renesas RH850, ST SPC58); ASPICE-Re-Validation und Re-PPAP Level 3 erforderlich (Zeitbedarf 12-16 Wochen).</w:t>
      </w:r>
    </w:p>
    <w:p>
      <w:pPr>
        <w:pStyle w:val="Heading3"/>
      </w:pPr>
      <w:r>
        <w:t>Bitten / Anforderungen an den Kunden</w:t>
      </w:r>
    </w:p>
    <w:p>
      <w:pPr>
        <w:pStyle w:val="ListBullet"/>
      </w:pPr>
      <w:r>
        <w:t>Verbindliche Bestaetigung der Mindest-Liefermengen je Programm bis +5 AT.</w:t>
      </w:r>
    </w:p>
    <w:p>
      <w:pPr>
        <w:pStyle w:val="ListBullet"/>
      </w:pPr>
      <w:r>
        <w:t>Prioritaeten-Festlegung Werke (welche Werke / Modelle absolute Vorrang haben).</w:t>
      </w:r>
    </w:p>
    <w:p>
      <w:pPr>
        <w:pStyle w:val="ListBullet"/>
      </w:pPr>
      <w:r>
        <w:t>Verzicht auf Sondertransport-Eskalation in betroffener Phase (Notbestaende).</w:t>
      </w:r>
    </w:p>
    <w:p>
      <w:pPr>
        <w:pStyle w:val="ListBullet"/>
      </w:pPr>
      <w:r>
        <w:t>Vorbehaltlich-Erklaerung Anwendung Liefer-Pönalen (sondergeregelt waehrend Eskalation).</w:t>
      </w:r>
    </w:p>
    <w:p>
      <w:pPr>
        <w:pStyle w:val="ListBullet"/>
      </w:pPr>
      <w:r>
        <w:t>Joint-Steering-Termin mit Geschaeftsleitung beider Parteien innerhalb 14 Tagen.</w:t>
      </w:r>
    </w:p>
    <w:p>
      <w:pPr>
        <w:pStyle w:val="Heading3"/>
      </w:pPr>
      <w:r>
        <w:t>Erwartete Auswirkungen</w:t>
      </w:r>
    </w:p>
    <w:p>
      <w:r>
        <w:t>Wir gehen davon aus, dass die Engpass-Situation bis Q1 2022 geloest werden kann. Die Mindest-Liefermengen koennen mit hoher Wahrscheinlichkeit gehalten werden; eine vollstaendige Plan-Erfuellung haengt jedoch von der Allokations-Entwicklung am Halbleiter-Markt ab. Wir werden im 14-taegigen Rhythmus Status-Updates uebermitteln.</w:t>
      </w:r>
    </w:p>
    <w:p>
      <w:pPr>
        <w:pStyle w:val="Heading3"/>
      </w:pPr>
      <w:r>
        <w:t>Naechste Schritte</w:t>
      </w:r>
    </w:p>
    <w:p>
      <w:r>
        <w:t>Wir bitten um umgehende Stellungnahme und ggf. die Vereinbarung eines Joint-Steering-Termins (Brennhagen-seitig: Stefan Richter CMO, Stefan Hoffmann CTO; Kunden-seitig: Dr. Markus Heller, Werkleitung). Anlagen: Liefer-Forecast je Programm (KW 28-52 2021), Stuecklisten der betroffenen Halbleiter.</w:t>
      </w:r>
    </w:p>
    <w:p>
      <w:pPr>
        <w:pStyle w:val="Heading3"/>
      </w:pPr>
      <w:r>
        <w:t>Unterschriften</w:t>
      </w:r>
    </w:p>
    <w:p>
      <w:r>
        <w:t>Ort, Datum: Stuttgart, den 10. Juli 2021</w:t>
      </w:r>
    </w:p>
    <w:p>
      <w:r>
        <w:t>_________________________            _________________________</w:t>
        <w:br/>
        <w:t>Stefan Richter                          Stefan Hoffmann</w:t>
        <w:br/>
        <w:t>CMO / BD                          CTO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