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BMW-ICP-3-ECR-2022-002</w:t>
      </w:r>
    </w:p>
    <w:p>
      <w:pPr>
        <w:jc w:val="center"/>
      </w:pPr>
      <w:r>
        <w:t>Aenderungsantrag im Rahmen Programm BMW-ICP-3-2022</w:t>
      </w:r>
    </w:p>
    <w:p/>
    <w:p>
      <w:pPr>
        <w:pStyle w:val="Heading3"/>
      </w:pPr>
      <w:r>
        <w:t>Adressat / Vorgang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BMW-ICP-3-ECR-2022-002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BMW-ICP-3-2022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(ICP-3)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08.06.2022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Aenderung des Steckverbinder-Lieferanten von TE Connectivity HFM-Serie auf Molex MX150-Serie aufgrund verbesserter Vibrationsfestigkeit (USCAR-2 Class 3 anstatt Class 2) und gleichbleibender Kosten. Re-PPAP Level 3 erforderlich.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ASIL-B-Level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12.500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+0,42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12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 (Re-PPAP komplett)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