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BMW Group – InfoConnect Pro (ICP-3)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BMW-ICP-3-RFQ-2022 vom Februar 2022; Angebot Brennhagen vom 15. April 2022; Nachverhandlung 12. Mai 2022 (Teilnehmer Brennhagen: Stefan Richter CMO, n. n. Programm-Manager; Kunde: Dr. Markus Heller, Head of Purchasing Electronics).</w:t>
      </w:r>
    </w:p>
    <w:p>
      <w:pPr>
        <w:pStyle w:val="Heading3"/>
      </w:pPr>
      <w:r>
        <w:t>Programm-Vergabe</w:t>
      </w:r>
    </w:p>
    <w:p>
      <w:r>
        <w:t>Hiermit bestaetigt Bayerische Motoren Werke AG die Vergabe des Programms »InfoConnect Pro (ICP-3) fuer Plattform BMW-Generation 2022« an die Brennhagen Elektronik AG als Tier-1-Lieferantin. Voraussichtliches Programmvolumen: 850 Mio. EUR ueber 5 Jahre Serien-Laufzeit (SOP Q3 2023 / EOP Q4 2027).</w:t>
      </w:r>
    </w:p>
    <w:p>
      <w:pPr>
        <w:pStyle w:val="Heading3"/>
      </w:pPr>
      <w:r>
        <w:t>Programmdaten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170.000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Q3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850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Andreas Lechner: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80809 Muenchen, den 22. Mai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