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BMW – Verhandlungsergebnis 2023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Bayerische Motoren Werke AG, vertreten durch Dr. Markus Heller (Head of Purchasing Electronics);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2022; Runde 1 (Daten-Abgleich, Material-Pass-Through): 8. November 2022; Runde 2 (Productivity-Kommerziell): 22. November 2022; Runde 3 (Programm-spezifische Eskalationen): 6. Dezember 2022; Abschluss / Term Sheet: 18. Dezember 2022; Schriftliche Bestaetigung: 12. Januar 2023.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Preis 2023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2023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2023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2023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