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Request CON-ADAS-V4D-ECR-2022-002</w:t>
      </w:r>
    </w:p>
    <w:p>
      <w:pPr>
        <w:jc w:val="center"/>
      </w:pPr>
      <w:r>
        <w:t>Aenderungsantrag im Rahmen Programm CON-ADAS-V4D-2022</w:t>
      </w:r>
    </w:p>
    <w:p/>
    <w:p>
      <w:pPr>
        <w:pStyle w:val="Heading3"/>
      </w:pPr>
      <w:r>
        <w:t>Adressat / Vorgang</w:t>
      </w:r>
    </w:p>
    <w:p>
      <w:r>
        <w:t>Empfaengerin:</w:t>
        <w:br/>
        <w:t>Continental Aktiengesellschaft</w:t>
        <w:br/>
        <w:t>Vahrenwalder Strasse 9, 30165 Hannover</w:t>
      </w:r>
    </w:p>
    <w:p>
      <w:r>
        <w:t>Ansprechpartner Einkauf: Herr Dr. Henning Brungs (Strategic Purchasing Lead (Tier-2 Programme))</w:t>
        <w:br/>
        <w:t>Werk / Bedarfsstelle: Werk Regensburg / Werk Babenhausen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ECR-Identifikation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ECR-Nummer</w:t>
            </w:r>
          </w:p>
        </w:tc>
        <w:tc>
          <w:tcPr>
            <w:tcW w:type="dxa" w:w="4320"/>
          </w:tcPr>
          <w:p>
            <w:r>
              <w:t>CON-ADAS-V4D-ECR-2022-002</w:t>
            </w:r>
          </w:p>
        </w:tc>
      </w:tr>
      <w:tr>
        <w:tc>
          <w:tcPr>
            <w:tcW w:type="dxa" w:w="4320"/>
          </w:tcPr>
          <w:p>
            <w:r>
              <w:t>Programm</w:t>
            </w:r>
          </w:p>
        </w:tc>
        <w:tc>
          <w:tcPr>
            <w:tcW w:type="dxa" w:w="4320"/>
          </w:tcPr>
          <w:p>
            <w:r>
              <w:t>CON-ADAS-V4D-2022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Radar Fusion Steuergeraet ADAS-V4D</w:t>
            </w:r>
          </w:p>
        </w:tc>
      </w:tr>
      <w:tr>
        <w:tc>
          <w:tcPr>
            <w:tcW w:type="dxa" w:w="4320"/>
          </w:tcPr>
          <w:p>
            <w:r>
              <w:t>Stand</w:t>
            </w:r>
          </w:p>
        </w:tc>
        <w:tc>
          <w:tcPr>
            <w:tcW w:type="dxa" w:w="4320"/>
          </w:tcPr>
          <w:p>
            <w:r>
              <w:t>Eingang Kunde: 08.06.2022</w:t>
            </w:r>
          </w:p>
        </w:tc>
      </w:tr>
      <w:tr>
        <w:tc>
          <w:tcPr>
            <w:tcW w:type="dxa" w:w="4320"/>
          </w:tcPr>
          <w:p>
            <w:r>
              <w:t>Initiator</w:t>
            </w:r>
          </w:p>
        </w:tc>
        <w:tc>
          <w:tcPr>
            <w:tcW w:type="dxa" w:w="4320"/>
          </w:tcPr>
          <w:p>
            <w:r>
              <w:t>Kunde (Konstruktion)</w:t>
            </w:r>
          </w:p>
        </w:tc>
      </w:tr>
      <w:tr>
        <w:tc>
          <w:tcPr>
            <w:tcW w:type="dxa" w:w="4320"/>
          </w:tcPr>
          <w:p>
            <w:r>
              <w:t>Prioritaet</w:t>
            </w:r>
          </w:p>
        </w:tc>
        <w:tc>
          <w:tcPr>
            <w:tcW w:type="dxa" w:w="4320"/>
          </w:tcPr>
          <w:p>
            <w:r>
              <w:t>B (mittel)</w:t>
            </w:r>
          </w:p>
        </w:tc>
      </w:tr>
    </w:tbl>
    <w:p>
      <w:pPr>
        <w:pStyle w:val="Heading3"/>
      </w:pPr>
      <w:r>
        <w:t>Aenderungsbeschreibung</w:t>
      </w:r>
    </w:p>
    <w:p>
      <w:r>
        <w:t>Aenderung des Steckverbinder-Lieferanten von TE Connectivity HFM-Serie auf Molex MX150-Serie aufgrund verbesserter Vibrationsfestigkeit (USCAR-2 Class 3 anstatt Class 2) und gleichbleibender Kosten. Re-PPAP Level 3 erforderlich.</w:t>
      </w:r>
    </w:p>
    <w:p>
      <w:pPr>
        <w:pStyle w:val="Heading3"/>
      </w:pPr>
      <w:r>
        <w:t>Auswirkungen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Bereich</w:t>
            </w:r>
          </w:p>
        </w:tc>
        <w:tc>
          <w:tcPr>
            <w:tcW w:type="dxa" w:w="4320"/>
          </w:tcPr>
          <w:p>
            <w:r>
              <w:t>Auswirkung</w:t>
            </w:r>
          </w:p>
        </w:tc>
      </w:tr>
      <w:tr>
        <w:tc>
          <w:tcPr>
            <w:tcW w:type="dxa" w:w="4320"/>
          </w:tcPr>
          <w:p>
            <w:r>
              <w:t>Funktion / Performance</w:t>
            </w:r>
          </w:p>
        </w:tc>
        <w:tc>
          <w:tcPr>
            <w:tcW w:type="dxa" w:w="4320"/>
          </w:tcPr>
          <w:p>
            <w:r>
              <w:t>Verbesserung bzw. unveraendert</w:t>
            </w:r>
          </w:p>
        </w:tc>
      </w:tr>
      <w:tr>
        <w:tc>
          <w:tcPr>
            <w:tcW w:type="dxa" w:w="4320"/>
          </w:tcPr>
          <w:p>
            <w:r>
              <w:t>Sicherheit (ISO 26262)</w:t>
            </w:r>
          </w:p>
        </w:tc>
        <w:tc>
          <w:tcPr>
            <w:tcW w:type="dxa" w:w="4320"/>
          </w:tcPr>
          <w:p>
            <w:r>
              <w:t>Re-Validation auf ASIL-D-Level (Safety Case Update)</w:t>
            </w:r>
          </w:p>
        </w:tc>
      </w:tr>
      <w:tr>
        <w:tc>
          <w:tcPr>
            <w:tcW w:type="dxa" w:w="4320"/>
          </w:tcPr>
          <w:p>
            <w:r>
              <w:t>Werkzeugaufwand (EUR)</w:t>
            </w:r>
          </w:p>
        </w:tc>
        <w:tc>
          <w:tcPr>
            <w:tcW w:type="dxa" w:w="4320"/>
          </w:tcPr>
          <w:p>
            <w:r>
              <w:t>12.500</w:t>
            </w:r>
          </w:p>
        </w:tc>
      </w:tr>
      <w:tr>
        <w:tc>
          <w:tcPr>
            <w:tcW w:type="dxa" w:w="4320"/>
          </w:tcPr>
          <w:p>
            <w:r>
              <w:t>NRE Engineering (EUR)</w:t>
            </w:r>
          </w:p>
        </w:tc>
        <w:tc>
          <w:tcPr>
            <w:tcW w:type="dxa" w:w="4320"/>
          </w:tcPr>
          <w:p>
            <w:r>
              <w:t>28.000</w:t>
            </w:r>
          </w:p>
        </w:tc>
      </w:tr>
      <w:tr>
        <w:tc>
          <w:tcPr>
            <w:tcW w:type="dxa" w:w="4320"/>
          </w:tcPr>
          <w:p>
            <w:r>
              <w:t>Stueckkostenaenderung (EUR)</w:t>
            </w:r>
          </w:p>
        </w:tc>
        <w:tc>
          <w:tcPr>
            <w:tcW w:type="dxa" w:w="4320"/>
          </w:tcPr>
          <w:p>
            <w:r>
              <w:t>+0,42</w:t>
            </w:r>
          </w:p>
        </w:tc>
      </w:tr>
      <w:tr>
        <w:tc>
          <w:tcPr>
            <w:tcW w:type="dxa" w:w="4320"/>
          </w:tcPr>
          <w:p>
            <w:r>
              <w:t>Implementierungsdauer</w:t>
            </w:r>
          </w:p>
        </w:tc>
        <w:tc>
          <w:tcPr>
            <w:tcW w:type="dxa" w:w="4320"/>
          </w:tcPr>
          <w:p>
            <w:r>
              <w:t>12 Wochen</w:t>
            </w:r>
          </w:p>
        </w:tc>
      </w:tr>
      <w:tr>
        <w:tc>
          <w:tcPr>
            <w:tcW w:type="dxa" w:w="4320"/>
          </w:tcPr>
          <w:p>
            <w:r>
              <w:t>PPAP-Level</w:t>
            </w:r>
          </w:p>
        </w:tc>
        <w:tc>
          <w:tcPr>
            <w:tcW w:type="dxa" w:w="4320"/>
          </w:tcPr>
          <w:p>
            <w:r>
              <w:t>Level 3 (Re-PPAP komplett)</w:t>
            </w:r>
          </w:p>
        </w:tc>
      </w:tr>
    </w:tbl>
    <w:p>
      <w:pPr>
        <w:pStyle w:val="Heading3"/>
      </w:pPr>
      <w:r>
        <w:t>Stellungnahme Brennhagen</w:t>
      </w:r>
    </w:p>
    <w:p>
      <w:r>
        <w:t>Die beantragte Aenderung ist technisch und qualitativ umsetzbar. Die unter »Auswirkungen« ausgewiesenen Werkzeug- und NRE-Kosten werden dem Kunden gemaess Rahmenliefervertrag § 7 in Rechnung gestellt. Stueckkostenaenderung wird ab erfolgreichem PPAP-Approval wirksam. Brennhagen empfiehlt Annahme. Risiken: Halbleiter-Allokation IAUC100N04S6L (Infineon bestaetigt Liefersicherheit; LOA bis 2030 vorliegend).</w:t>
      </w:r>
    </w:p>
    <w:p>
      <w:pPr>
        <w:pStyle w:val="Heading3"/>
      </w:pPr>
      <w:r>
        <w:t>Naechste Schritte</w:t>
      </w:r>
    </w:p>
    <w:p>
      <w:pPr>
        <w:pStyle w:val="ListBullet"/>
      </w:pPr>
      <w:r>
        <w:t>Freigabe ECR durch Kunden-Konstruktionsleitung erforderlich</w:t>
      </w:r>
    </w:p>
    <w:p>
      <w:pPr>
        <w:pStyle w:val="ListBullet"/>
      </w:pPr>
      <w:r>
        <w:t>Kostenstellungnahme Brennhagen: bereits in Kommerziellem Angebot enthalten</w:t>
      </w:r>
    </w:p>
    <w:p>
      <w:pPr>
        <w:pStyle w:val="ListBullet"/>
      </w:pPr>
      <w:r>
        <w:t>Erstmusterlieferung Re-PPAP: +8 Wochen ab Freigabe</w:t>
      </w:r>
    </w:p>
    <w:p>
      <w:pPr>
        <w:pStyle w:val="ListBullet"/>
      </w:pPr>
      <w:r>
        <w:t>Serienanlauf nach erfolgreichem PPAP: +12 Wochen ab Freigabe</w:t>
      </w:r>
    </w:p>
    <w:p>
      <w:pPr>
        <w:pStyle w:val="ListBullet"/>
      </w:pPr>
      <w:r>
        <w:t>Reporting im naechsten QBR</w:t>
      </w:r>
    </w:p>
    <w:p>
      <w:pPr>
        <w:pStyle w:val="Heading3"/>
      </w:pPr>
      <w:r>
        <w:t>Unterschriften</w:t>
      </w:r>
    </w:p>
    <w:p>
      <w:r>
        <w:t>Ort, Datum: Stuttgart, den 30. Juni 2022</w:t>
      </w:r>
    </w:p>
    <w:p>
      <w:r>
        <w:t>_________________________            _________________________</w:t>
        <w:br/>
        <w:t>Stefan Richter                          Herr Dr. Henning Brungs</w:t>
        <w:br/>
        <w:t>CMO / BD                          Strategic Purchasing Lead (Tier-2 Programme)</w:t>
        <w:br/>
        <w:t>Brennhagen Elektronik AG                       Continental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