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Radar Fusion Steuergeraet ADAS-V4D – 2022 Q1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CON-ADAS-V4D-2022; Fertigungswerk Brennhagen Elektronik GmbH (REG), Heilbronn – Linie 1; Software-Stack RSG Muenchen (ASPICE Level 3); SOP-Status Q2 2023; aktuelle Berichtsperiode: 2022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21.707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16.5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94.8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CON-ADAS-V4D liegt im Quartal 2022 Q1 im Wesentlichen im Plan. Die geplante Liefermenge wurde mit 102 %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94.8 % (Ziel &gt; 98,5 %). Sondertransporte: 0 (Vorquartal: 0), Kosten 18-32 TEUR – traegt Brennhagen. Frozen-Zone-Adherence durch Kunde 92 %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Q1-Ende 2022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