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CON – Radar Fusion Steuergeraet ADAS-V4D – 2022 Q4</w:t>
      </w:r>
    </w:p>
    <w:p>
      <w:pPr>
        <w:jc w:val="center"/>
      </w:pPr>
      <w:r>
        <w:t>Programm-Statusbericht zwischen Brennhagen Elektronik AG und Continental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Henning Brungs (Strategic Purchasing Lead (Tier-2 Programme)), Herr Mehmet Yilmaz (SQE), Frau Annette Dreier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CON-ADAS-V4D-2022; Fertigungswerk Brennhagen Elektronik GmbH (REG), Heilbronn – Linie 1; Software-Stack RSG Muenchen (ASPICE Level 3); SOP-Status Q2 2023; aktuelle Berichtsperiode: 2022 Q4.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24.700</w:t>
            </w:r>
          </w:p>
        </w:tc>
        <w:tc>
          <w:tcPr>
            <w:tcW w:type="dxa" w:w="2160"/>
          </w:tcPr>
          <w:p>
            <w:r>
              <w:t>23.750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98.0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10.5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CON-ADAS-V4D liegt im Quartal 2022 Q4 im Wesentlichen im Plan. Die geplante Liefermenge wurde mit 165 % der vereinbarten Menge erfuellt. Der Stueckpreis ist gemaess Vertrag stabil bei 798.00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98.0 % (Ziel &gt; 98,5 %). Sondertransporte: 3 (Vorquartal: 4), Kosten 18-32 TEUR – traegt Brennhagen. Frozen-Zone-Adherence durch Kunde 96 %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6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95.000 Einheiten (rollierend 12 Monate). Risikofaktoren: Halbleiter-Allokation TSMC N7/N5 (im Plan. jedoch ohne Puffer). BEV-Hochlauf Plattform CON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Mehmet Yilmaz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54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Q4-Ende 2022 + 14 AT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