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Radar Fusion Steuergeraet ADAS-V4D – 2023 Q1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CON-ADAS-V4D-2023; Fertigungswerk Brennhagen Elektronik GmbH (REG), Heilbronn – Linie 1; Software-Stack RSG Muenchen (ASPICE Level 3); SOP-Status Q2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23.417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18.6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96.7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CON-ADAS-V4D liegt im Quartal 2023 Q1 im Wesentlichen im Plan. Die geplante Liefermenge wurde mit 138 %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96.7 %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