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Radar Fusion Steuergeraet ADAS-V4D – 2023 Q2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CON-ADAS-V4D-2023; Fertigungswerk Brennhagen Elektronik GmbH (REG), Heilbronn – Linie 1; Software-Stack RSG Muenchen (ASPICE Level 3); SOP-Status Q2 2023;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25.270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20.8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CON-ADAS-V4D liegt im Quartal 2023 Q2 im Wesentlichen im Plan. Die geplante Liefermenge wurde mit 177 %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98.6 %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