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Radar Fusion Steuergeraet ADAS-V4D – 2023 Q4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CON-ADAS-V4D-2023; Fertigungswerk Brennhagen Elektronik GmbH (REG), Heilbronn – Linie 1; Software-Stack RSG Muenchen (ASPICE Level 3); SOP-Status Q2 2023;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23.227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96.5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8.9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CON-ADAS-V4D liegt im Quartal 2023 Q4 im Wesentlichen im Plan. Die geplante Liefermenge wurde mit 134 %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96.5 % (Ziel &gt; 98,5 %). Sondertransporte: 1 (Vorquartal: 2), Kosten 18-32 TEUR – traegt Brennhagen. Frozen-Zone-Adherence durch Kunde 94 %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