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Radar Fusion Steuergeraet ADAS-V4D fuer Continental AG (2022)</w:t>
      </w:r>
    </w:p>
    <w:p>
      <w:pPr>
        <w:jc w:val="center"/>
      </w:pPr>
      <w:r>
        <w:t>Verbindliches Angebot der Brennhagen Elektronik AG zur Ausschreibung CON-ADAS-V4D-RFQ-2022</w:t>
      </w:r>
    </w:p>
    <w:p/>
    <w:p>
      <w:pPr>
        <w:pStyle w:val="Heading3"/>
      </w:pPr>
      <w:r>
        <w:t>Adressat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CON-ADAS-V4D-RFQ-2022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Radar Fusion Steuergeraet ADAS-V4D</w:t>
        <w:br/>
        <w:t>Kurzbeschreibung: Level-2/3 ADAS-Steuergeraet mit 4D-Radar-Fusion (Nvidia Orin SoC. 77-GHz Front + Side Radar)</w:t>
        <w:br/>
        <w:t>Sicherheitsklassifizierung: ASIL-D (ISO 26262); IATF 16949 zertifizierter Fertigungsstandort.</w:t>
        <w:br/>
        <w:t>Fertigungsstandort: Brennhagen Elektronik GmbH (REG). Heilbronn – Linie 1; Software-Stack RSG Muenchen (ASPICE Level 3)</w:t>
        <w:br/>
        <w:t>SOP-Ziel: Q2 2023; Lebenszyklus-Volumen Jahr 1 (Plan): 95.000 Einheiten</w:t>
        <w:br/>
        <w:t>Plan-Stueckpreis (EUR. EXW): 798.00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798.00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750.12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840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95.000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Q2 2023 / Q4 2026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1; Software-Stack RSG Muenchen (ASPICE Level 3)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(ASIL-D)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Q2 2023: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