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CON-BMS-12-ECR-2022-002</w:t>
      </w:r>
    </w:p>
    <w:p>
      <w:pPr>
        <w:jc w:val="center"/>
      </w:pPr>
      <w:r>
        <w:t>Aenderungsantrag im Rahmen Programm CON-BMS-12-2022</w:t>
      </w:r>
    </w:p>
    <w:p/>
    <w:p>
      <w:pPr>
        <w:pStyle w:val="Heading3"/>
      </w:pPr>
      <w:r>
        <w:t>Adressat / Vorgang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CON-BMS-12-ECR-2022-002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CON-BMS-12-2022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08.06.2022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Aenderung des Steckverbinder-Lieferanten von TE Connectivity HFM-Serie auf Molex MX150-Serie aufgrund verbesserter Vibrationsfestigkeit (USCAR-2 Class 3 anstatt Class 2) und gleichbleibender Kosten. Re-PPAP Level 3 erforderlich.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ASIL-D-Level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12.500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+0,42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12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 (Re-PPAP komplett)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