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Powertrain-ECU Gen3 (ECU-900) fuer Continental AG (2022)</w:t>
      </w:r>
    </w:p>
    <w:p>
      <w:pPr>
        <w:jc w:val="center"/>
      </w:pPr>
      <w:r>
        <w:t>Verbindliches Angebot der Brennhagen Elektronik AG zur Ausschreibung CON-ECU-900-RFQ-2022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CON-ECU-900-RFQ-2022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186.59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145.000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Q4 2022 / Q4 2025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(ASIL-C) sowie SOTIF (ISO 21448). Abweichungen / Klaerungsbedarf siehe Anlage »Deviation List« (insgesamt 4 Punkte; alle als »low impact« klassifiziert). Software-Stack in-house REG Heilbronn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Q4 2022: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