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Langfristlieferzusage Continental AG (2022)</w:t>
      </w:r>
    </w:p>
    <w:p>
      <w:pPr>
        <w:jc w:val="center"/>
      </w:pPr>
      <w:r>
        <w:t>Verbindliche mehrjaehrige Liefer- und Volumenzusage zur Programmstabilitaet</w:t>
      </w:r>
    </w:p>
    <w:p/>
    <w:p>
      <w:pPr>
        <w:pStyle w:val="Heading3"/>
      </w:pPr>
      <w:r>
        <w:t>Adressat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Inhalt der Zusage</w:t>
      </w:r>
    </w:p>
    <w:p>
      <w:r>
        <w:t>Die Brennhagen Elektronik AG bestaetigt hiermit der Continental Aktiengesellschaft eine mehrjaehrige Liefer- und Volumenzusage fuer die Programme ICP-3, BMS-12, ADAS-V4D, ECU-900 ueber den Zeitraum 2022 bis 2027. Die Zusage umfasst Werks-Kapazitaet, Material-Allokation und Productivity-Verpflichtung gemaess Rahmenvertrag § 4.</w:t>
      </w:r>
    </w:p>
    <w:p>
      <w:pPr>
        <w:pStyle w:val="Heading3"/>
      </w:pPr>
      <w:r>
        <w:t>Volumen-Korridor (Mehrjahres-Plan)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Programm</w:t>
            </w:r>
          </w:p>
        </w:tc>
        <w:tc>
          <w:tcPr>
            <w:tcW w:type="dxa" w:w="1234"/>
          </w:tcPr>
          <w:p>
            <w:r>
              <w:t>Plan 2022</w:t>
            </w:r>
          </w:p>
        </w:tc>
        <w:tc>
          <w:tcPr>
            <w:tcW w:type="dxa" w:w="1234"/>
          </w:tcPr>
          <w:p>
            <w:r>
              <w:t>Plan +1</w:t>
            </w:r>
          </w:p>
        </w:tc>
        <w:tc>
          <w:tcPr>
            <w:tcW w:type="dxa" w:w="1234"/>
          </w:tcPr>
          <w:p>
            <w:r>
              <w:t>Plan +2</w:t>
            </w:r>
          </w:p>
        </w:tc>
        <w:tc>
          <w:tcPr>
            <w:tcW w:type="dxa" w:w="1234"/>
          </w:tcPr>
          <w:p>
            <w:r>
              <w:t>Plan +3</w:t>
            </w:r>
          </w:p>
        </w:tc>
        <w:tc>
          <w:tcPr>
            <w:tcW w:type="dxa" w:w="1234"/>
          </w:tcPr>
          <w:p>
            <w:r>
              <w:t>Plan +4</w:t>
            </w:r>
          </w:p>
        </w:tc>
        <w:tc>
          <w:tcPr>
            <w:tcW w:type="dxa" w:w="1234"/>
          </w:tcPr>
          <w:p>
            <w:r>
              <w:t>Plan +5</w:t>
            </w:r>
          </w:p>
        </w:tc>
      </w:tr>
      <w:tr>
        <w:tc>
          <w:tcPr>
            <w:tcW w:type="dxa" w:w="1234"/>
          </w:tcPr>
          <w:p>
            <w:r>
              <w:t>ICP-3 (Tsd. Einheiten)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175</w:t>
            </w:r>
          </w:p>
        </w:tc>
        <w:tc>
          <w:tcPr>
            <w:tcW w:type="dxa" w:w="1234"/>
          </w:tcPr>
          <w:p>
            <w:r>
              <w:t>165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120</w:t>
            </w:r>
          </w:p>
        </w:tc>
      </w:tr>
      <w:tr>
        <w:tc>
          <w:tcPr>
            <w:tcW w:type="dxa" w:w="1234"/>
          </w:tcPr>
          <w:p>
            <w:r>
              <w:t>BMS-12 (Tsd. Einheiten)</w:t>
            </w:r>
          </w:p>
        </w:tc>
        <w:tc>
          <w:tcPr>
            <w:tcW w:type="dxa" w:w="1234"/>
          </w:tcPr>
          <w:p>
            <w:r>
              <w:t>220</w:t>
            </w:r>
          </w:p>
        </w:tc>
        <w:tc>
          <w:tcPr>
            <w:tcW w:type="dxa" w:w="1234"/>
          </w:tcPr>
          <w:p>
            <w:r>
              <w:t>245</w:t>
            </w:r>
          </w:p>
        </w:tc>
        <w:tc>
          <w:tcPr>
            <w:tcW w:type="dxa" w:w="1234"/>
          </w:tcPr>
          <w:p>
            <w:r>
              <w:t>265</w:t>
            </w:r>
          </w:p>
        </w:tc>
        <w:tc>
          <w:tcPr>
            <w:tcW w:type="dxa" w:w="1234"/>
          </w:tcPr>
          <w:p>
            <w:r>
              <w:t>270</w:t>
            </w:r>
          </w:p>
        </w:tc>
        <w:tc>
          <w:tcPr>
            <w:tcW w:type="dxa" w:w="1234"/>
          </w:tcPr>
          <w:p>
            <w:r>
              <w:t>265</w:t>
            </w:r>
          </w:p>
        </w:tc>
        <w:tc>
          <w:tcPr>
            <w:tcW w:type="dxa" w:w="1234"/>
          </w:tcPr>
          <w:p>
            <w:r>
              <w:t>250</w:t>
            </w:r>
          </w:p>
        </w:tc>
      </w:tr>
      <w:tr>
        <w:tc>
          <w:tcPr>
            <w:tcW w:type="dxa" w:w="1234"/>
          </w:tcPr>
          <w:p>
            <w:r>
              <w:t>ADAS-V4D (Tsd. Einheiten)</w:t>
            </w:r>
          </w:p>
        </w:tc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105</w:t>
            </w:r>
          </w:p>
        </w:tc>
      </w:tr>
      <w:tr>
        <w:tc>
          <w:tcPr>
            <w:tcW w:type="dxa" w:w="1234"/>
          </w:tcPr>
          <w:p>
            <w:r>
              <w:t>ECU-900 (Tsd. Einheiten)</w:t>
            </w:r>
          </w:p>
        </w:tc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152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100</w:t>
            </w:r>
          </w:p>
        </w:tc>
      </w:tr>
    </w:tbl>
    <w:p>
      <w:pPr>
        <w:pStyle w:val="Heading3"/>
      </w:pPr>
      <w:r>
        <w:t>Productivity-Pfad</w:t>
      </w:r>
    </w:p>
    <w:p>
      <w:r>
        <w:t>Verbindliche Productivity-Beteiligung gemaess Rahmenvertrag § 4: 1,5 - 3,0 % p. a. (Mittelwert 2,0 %). Wirkung auf Stueckpreis ueber 6 Jahre kumuliert ca. -11,4 %. Material-Pass-Through-Klausel wirkt unabhaengig (siehe Anhang 3 Rahmenvertrag).</w:t>
      </w:r>
    </w:p>
    <w:p>
      <w:pPr>
        <w:pStyle w:val="Heading3"/>
      </w:pPr>
      <w:r>
        <w:t>Investitionsfreigaben</w:t>
      </w:r>
    </w:p>
    <w:p>
      <w:r>
        <w:t>Brennhagen hat fuer die Erfuellung der Zusage folgende Investitionen freigegeben: (1) REG Heilbronn Linie 4 (BMS-12) – 28,4 Mio. EUR / SOP Q1 2024; (2) RPL Katowice SMD-Erweiterung – 6,2 Mio. EUR / SOP Q3 2023; (3) RSG Muenchen Software-Erweiterung (ADAS) – 18 FTE-Aufbau ueber 24 Monate; (4) Inline-Roentgen REG Linie 1 (ADAS-V4D) – 1,4 Mio. EUR / SOP Q4 2023.</w:t>
      </w:r>
    </w:p>
    <w:p>
      <w:pPr>
        <w:pStyle w:val="Heading3"/>
      </w:pPr>
      <w:r>
        <w:t>Vorbehalte</w:t>
      </w:r>
    </w:p>
    <w:p>
      <w:r>
        <w:t>Die Zusage steht unter Vorbehalt: (1) Erfuellung der Q-Anforderungen durch Brennhagen; (2) Material-Verfuegbarkeit Halbleiter (LoA Infineon, NXP bis 2030); (3) Keine wesentliche Verschiebung der OEM-Volumen-Forecasts ueber 25 %; (4) Bestaetigung der Allgemeinen Material-Pass-Through-Klausel.</w:t>
      </w:r>
    </w:p>
    <w:p>
      <w:pPr>
        <w:pStyle w:val="Heading3"/>
      </w:pPr>
      <w:r>
        <w:t>Unterschriften</w:t>
      </w:r>
    </w:p>
    <w:p>
      <w:r>
        <w:t>Ort, Datum: Stuttgart, den 08. November 2022</w:t>
      </w:r>
    </w:p>
    <w:p>
      <w:r>
        <w:t>_________________________            _________________________</w:t>
        <w:br/>
        <w:t>Stefan Richter                          Anna Mueller</w:t>
        <w:br/>
        <w:t>CMO / BD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