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Liefervertrag Radar Fusion Steuergeraet ADAS-V4D fuer Continental AG (2023)</w:t>
      </w:r>
    </w:p>
    <w:p>
      <w:pPr>
        <w:jc w:val="center"/>
      </w:pPr>
      <w:r>
        <w:t>Programmbezogener Einzelvertrag zum Rahmenliefervertrag CON-2022</w:t>
      </w:r>
    </w:p>
    <w:p/>
    <w:p>
      <w:pPr>
        <w:pStyle w:val="Heading3"/>
      </w:pPr>
      <w:r>
        <w:t>Vertragsparteien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Vertragsgegenstand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§ 1 Programm-Daten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Programmname (Kunde)</w:t>
            </w:r>
          </w:p>
        </w:tc>
        <w:tc>
          <w:tcPr>
            <w:tcW w:type="dxa" w:w="4320"/>
          </w:tcPr>
          <w:p>
            <w:r>
              <w:t>CON-ADAS-V4D-2023</w:t>
            </w:r>
          </w:p>
        </w:tc>
      </w:tr>
      <w:tr>
        <w:tc>
          <w:tcPr>
            <w:tcW w:type="dxa" w:w="4320"/>
          </w:tcPr>
          <w:p>
            <w:r>
              <w:t>Plattform (Kunde)</w:t>
            </w:r>
          </w:p>
        </w:tc>
        <w:tc>
          <w:tcPr>
            <w:tcW w:type="dxa" w:w="4320"/>
          </w:tcPr>
          <w:p>
            <w:r>
              <w:t>MEB+ / MQB-Evo / NEUE KLASSE / STLA / EVA2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Lebenszyklus-Gesamtvolumen</w:t>
            </w:r>
          </w:p>
        </w:tc>
        <w:tc>
          <w:tcPr>
            <w:tcW w:type="dxa" w:w="4320"/>
          </w:tcPr>
          <w:p>
            <w:r>
              <w:t>120 Mio. EUR (4 Jahre)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</w:t>
            </w:r>
          </w:p>
        </w:tc>
        <w:tc>
          <w:tcPr>
            <w:tcW w:type="dxa" w:w="4320"/>
          </w:tcPr>
          <w:p>
            <w:r>
              <w:t>798.00 EUR</w:t>
            </w:r>
          </w:p>
        </w:tc>
      </w:tr>
      <w:tr>
        <w:tc>
          <w:tcPr>
            <w:tcW w:type="dxa" w:w="4320"/>
          </w:tcPr>
          <w:p>
            <w:r>
              <w:t>Fertigungswerk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Software-Stack</w:t>
            </w:r>
          </w:p>
        </w:tc>
        <w:tc>
          <w:tcPr>
            <w:tcW w:type="dxa" w:w="4320"/>
          </w:tcPr>
          <w:p>
            <w:r>
              <w:t>RSG Muenchen (ASPICE Level 2-3)</w:t>
            </w:r>
          </w:p>
        </w:tc>
      </w:tr>
      <w:tr>
        <w:tc>
          <w:tcPr>
            <w:tcW w:type="dxa" w:w="4320"/>
          </w:tcPr>
          <w:p>
            <w:r>
              <w:t>Verantwortlich Brennhagen</w:t>
            </w:r>
          </w:p>
        </w:tc>
        <w:tc>
          <w:tcPr>
            <w:tcW w:type="dxa" w:w="4320"/>
          </w:tcPr>
          <w:p>
            <w:r>
              <w:t>Stefan Richter (CMO) / Programm-Manager n. n.</w:t>
            </w:r>
          </w:p>
        </w:tc>
      </w:tr>
    </w:tbl>
    <w:p>
      <w:pPr>
        <w:pStyle w:val="Heading3"/>
      </w:pPr>
      <w:r>
        <w:t>§ 2 Lieferbedingungen</w:t>
      </w:r>
    </w:p>
    <w:p>
      <w:r>
        <w:t>Lieferung FCA Heilbronn (Incoterms 2020), Verpackung KLT VDA 4500, Just-in-Sequence Pull aus 12-Wochen-Frozen-Zone (EDI VDA 4905/4915). Sondertransporte gehen zu Lasten der verursachenden Partei. Anlieferung an Bedarfsstelle: Werk Regensburg / Werk Babenhausen. Wareneingangspruefung (skip-lot) gemaess Kunden-Q-Verfahren.</w:t>
      </w:r>
    </w:p>
    <w:p>
      <w:pPr>
        <w:pStyle w:val="Heading3"/>
      </w:pPr>
      <w:r>
        <w:t>§ 3 Preisgleitklausel</w:t>
      </w:r>
    </w:p>
    <w:p>
      <w:r>
        <w:t>Der Plan-Stueckpreis EUR 798.00 (EXW) gilt fuer Plan-Volumen. Produktivitaetsabschlag 2.7 % p. a. (»Annual Productivity«) bei Erreichung des Plan-Volumens. Material-Pass-Through-Klausel fuer Halbleiter (MCU Infineon AURIX, RAM/Flash, Power-MOSFETs) gemaess Anhang Index-Liste; Quartalsanpassung.</w:t>
      </w:r>
    </w:p>
    <w:p>
      <w:pPr>
        <w:pStyle w:val="Heading3"/>
      </w:pPr>
      <w:r>
        <w:t>§ 4 Qualitaet und ppm</w:t>
      </w:r>
    </w:p>
    <w:p>
      <w:r>
        <w:t>ppm-Ziel: &lt; 15 (rollierend 3 Monate). Bei Ueberschreitung &gt; 50 ppm ueber 3 Monate: Eskalation an Werkleiter REG (Andreas Maier); bei &gt; 100 ppm Kunden-Audit innerhalb 30 Tagen. Sondergarantien fuer Sicherheits-Steuergeraete (ASIL-D): 5 Jahre / 150.000 km.</w:t>
      </w:r>
    </w:p>
    <w:p>
      <w:pPr>
        <w:pStyle w:val="Heading3"/>
      </w:pPr>
      <w:r>
        <w:t>§ 5 Aenderungsverfahren</w:t>
      </w:r>
    </w:p>
    <w:p>
      <w:r>
        <w:t>Engineering Change Requests (ECR) im 4-stufigen Verfahren: (1) Anfrage Kunde; (2) Machbarkeitsanalyse Brennhagen (10 AT); (3) Angebot Brennhagen inkl. Re-PPAP-Aufwand; (4) Kundenfreigabe + Implementierung. ECR-Reporting quartalsweise im QBR (siehe separater QBR-Prozess).</w:t>
      </w:r>
    </w:p>
    <w:p>
      <w:pPr>
        <w:pStyle w:val="Heading3"/>
      </w:pPr>
      <w:r>
        <w:t>§ 6 Pönalen und SLA</w:t>
      </w:r>
    </w:p>
    <w:p>
      <w:r>
        <w:t>Liefer-SLA: 98,5 % On-Time-Delivery (OTD) rollierend 3 Monate. Ponale bei OTD &lt; 95 %: 2 % des betroffenen Monatsumsatzes; bei OTD &lt; 90 %: 5 %. Maximale Ponale-Belastung 1,5 Mio. EUR p. a. pro Programm. Ausnahmen: Force-Majeure, kundenseitig verursachte Lieferunterbrechungen.</w:t>
      </w:r>
    </w:p>
    <w:p>
      <w:pPr>
        <w:pStyle w:val="Heading3"/>
      </w:pPr>
      <w:r>
        <w:t>§ 7 Sonstiges</w:t>
      </w:r>
    </w:p>
    <w:p>
      <w:r>
        <w:t>Geltung des Rahmenliefervertrages CON (siehe REA_CON_Rahmenliefervertrag_2022). Schriftform fuer Aenderungen; Vorrang dieser Einzelregelung vor Rahmenvertrag. Geheimhaltungsvereinbarung gemaess Konzern-NDA-Standard.</w:t>
      </w:r>
    </w:p>
    <w:p>
      <w:pPr>
        <w:pStyle w:val="Heading3"/>
      </w:pPr>
      <w:r>
        <w:t>Unterschriften</w:t>
      </w:r>
    </w:p>
    <w:p>
      <w:r>
        <w:t>Ort, Datum: Stuttgart, den 15. Juni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