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Androhung der Vertragskuendigung – Rahmenliefervertrag CON (2021)</w:t>
      </w:r>
    </w:p>
    <w:p>
      <w:pPr>
        <w:jc w:val="center"/>
      </w:pPr>
      <w:r>
        <w:t>Schreiben gemaess § 314 BGB; Verbesserungs-Frist und Eskalationsverfahren</w:t>
      </w:r>
    </w:p>
    <w:p/>
    <w:p>
      <w:pPr>
        <w:pStyle w:val="Heading3"/>
      </w:pPr>
      <w:r>
        <w:t>Adressat (Brennhagen-seitig erhalten)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Sachverhalt</w:t>
      </w:r>
    </w:p>
    <w:p>
      <w:r>
        <w:t>Mit Schreiben vom 12. Maerz 2021 hat uns die Continental Aktiengesellschaft eine Androhung der Kuendigung des Rahmenliefervertrages vom 14. Maerz 2022 zugestellt. Anlass: Nichterfuellung definierter Q- und Liefer-KPIs in den letzten 6 Monaten (ppm-Ueberschreitungen Programm ADAS-V4D, OTD &lt; 95 % in 3 aufeinanderfolgenden Monaten, Eskalations-Verzug bei 8D-Reports). Eine 90-taegige Frist zur Nachbesserung wurde eingeraeumt.</w:t>
      </w:r>
    </w:p>
    <w:p>
      <w:pPr>
        <w:pStyle w:val="Heading3"/>
      </w:pPr>
      <w:r>
        <w:t>Beanstandungspunkte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Beanstandung</w:t>
            </w:r>
          </w:p>
        </w:tc>
        <w:tc>
          <w:tcPr>
            <w:tcW w:type="dxa" w:w="2880"/>
          </w:tcPr>
          <w:p>
            <w:r>
              <w:t>Q-Detail</w:t>
            </w:r>
          </w:p>
        </w:tc>
        <w:tc>
          <w:tcPr>
            <w:tcW w:type="dxa" w:w="2880"/>
          </w:tcPr>
          <w:p>
            <w:r>
              <w:t>Kunden-Erwartung</w:t>
            </w:r>
          </w:p>
        </w:tc>
      </w:tr>
      <w:tr>
        <w:tc>
          <w:tcPr>
            <w:tcW w:type="dxa" w:w="2880"/>
          </w:tcPr>
          <w:p>
            <w:r>
              <w:t>ppm-Ueberschreitung ADAS-V4D</w:t>
            </w:r>
          </w:p>
        </w:tc>
        <w:tc>
          <w:tcPr>
            <w:tcW w:type="dxa" w:w="2880"/>
          </w:tcPr>
          <w:p>
            <w:r>
              <w:t>Wert 42 ppm (Ziel 25 ppm) ueber 4 Monate</w:t>
            </w:r>
          </w:p>
        </w:tc>
        <w:tc>
          <w:tcPr>
            <w:tcW w:type="dxa" w:w="2880"/>
          </w:tcPr>
          <w:p>
            <w:r>
              <w:t>ppm &lt; 25 binnen 60 Tagen</w:t>
            </w:r>
          </w:p>
        </w:tc>
      </w:tr>
      <w:tr>
        <w:tc>
          <w:tcPr>
            <w:tcW w:type="dxa" w:w="2880"/>
          </w:tcPr>
          <w:p>
            <w:r>
              <w:t>OTD-Unterdeckung</w:t>
            </w:r>
          </w:p>
        </w:tc>
        <w:tc>
          <w:tcPr>
            <w:tcW w:type="dxa" w:w="2880"/>
          </w:tcPr>
          <w:p>
            <w:r>
              <w:t>92 % (Ziel &gt; 98,5 %) im Quartal</w:t>
            </w:r>
          </w:p>
        </w:tc>
        <w:tc>
          <w:tcPr>
            <w:tcW w:type="dxa" w:w="2880"/>
          </w:tcPr>
          <w:p>
            <w:r>
              <w:t>OTD &gt; 98,5 % nachweisbar binnen 90 Tagen</w:t>
            </w:r>
          </w:p>
        </w:tc>
      </w:tr>
      <w:tr>
        <w:tc>
          <w:tcPr>
            <w:tcW w:type="dxa" w:w="2880"/>
          </w:tcPr>
          <w:p>
            <w:r>
              <w:t>8D-Reporting-Verzug</w:t>
            </w:r>
          </w:p>
        </w:tc>
        <w:tc>
          <w:tcPr>
            <w:tcW w:type="dxa" w:w="2880"/>
          </w:tcPr>
          <w:p>
            <w:r>
              <w:t>3 Reports mit Frist-Ueberschreitung D5</w:t>
            </w:r>
          </w:p>
        </w:tc>
        <w:tc>
          <w:tcPr>
            <w:tcW w:type="dxa" w:w="2880"/>
          </w:tcPr>
          <w:p>
            <w:r>
              <w:t>100 % Termintreue D3/D5/D8</w:t>
            </w:r>
          </w:p>
        </w:tc>
      </w:tr>
      <w:tr>
        <w:tc>
          <w:tcPr>
            <w:tcW w:type="dxa" w:w="2880"/>
          </w:tcPr>
          <w:p>
            <w:r>
              <w:t>Eskalations-Verhalten</w:t>
            </w:r>
          </w:p>
        </w:tc>
        <w:tc>
          <w:tcPr>
            <w:tcW w:type="dxa" w:w="2880"/>
          </w:tcPr>
          <w:p>
            <w:r>
              <w:t>Kunden-Eskalation nicht angemessen reagiert</w:t>
            </w:r>
          </w:p>
        </w:tc>
        <w:tc>
          <w:tcPr>
            <w:tcW w:type="dxa" w:w="2880"/>
          </w:tcPr>
          <w:p>
            <w:r>
              <w:t>Reaktionszeit &lt; 4 h, schriftliche Stellungnahme &lt; 24 h</w:t>
            </w:r>
          </w:p>
        </w:tc>
      </w:tr>
    </w:tbl>
    <w:p>
      <w:pPr>
        <w:pStyle w:val="Heading3"/>
      </w:pPr>
      <w:r>
        <w:t>Brennhagen-Sofortmassnahmen</w:t>
      </w:r>
    </w:p>
    <w:p>
      <w:pPr>
        <w:pStyle w:val="ListBullet"/>
      </w:pPr>
      <w:r>
        <w:t>Krisen-Task-Force unter Leitung Werkleiter Andreas Maier (REG Heilbronn).</w:t>
      </w:r>
    </w:p>
    <w:p>
      <w:pPr>
        <w:pStyle w:val="ListBullet"/>
      </w:pPr>
      <w:r>
        <w:t>100-%-Pruefung Linie ADAS-V4D mit Inline-Roentgen (Zeitbedarf 14 Tage zur Inbetriebnahme).</w:t>
      </w:r>
    </w:p>
    <w:p>
      <w:pPr>
        <w:pStyle w:val="ListBullet"/>
      </w:pPr>
      <w:r>
        <w:t>Sofortige PFMEA-Aktualisierung mit dem Kunden (Joint-Workshop KW 18).</w:t>
      </w:r>
    </w:p>
    <w:p>
      <w:pPr>
        <w:pStyle w:val="ListBullet"/>
      </w:pPr>
      <w:r>
        <w:t>Eskalations-Hotline Q-Themen (Stefan Hoffmann CTO / Sabine Brand Q-Leitung).</w:t>
      </w:r>
    </w:p>
    <w:p>
      <w:pPr>
        <w:pStyle w:val="ListBullet"/>
      </w:pPr>
      <w:r>
        <w:t>Liefer-Eskalations-Plan mit taeglichem Reporting an Kunden-Werkleitung.</w:t>
      </w:r>
    </w:p>
    <w:p>
      <w:pPr>
        <w:pStyle w:val="Heading3"/>
      </w:pPr>
      <w:r>
        <w:t>Verbesserungsplan und Meilensteine</w:t>
      </w:r>
    </w:p>
    <w:p>
      <w:r>
        <w:t>Brennhagen verpflichtet sich zur Erreichung folgender Meilensteine binnen 90 Tagen: (1) ppm &lt; 25 bei ADAS-V4D mit Q-Wirksamkeitsmessung; (2) OTD &gt; 98 % rollierend 4 Wochen; (3) 100 % Termintreue 8D D3/D5/D8; (4) Joint-Audit mit Kunden-Audit-Team binnen 30 Tagen. Der Erfuellungsstand wird woechentlich an Herr Dr. Henning Brungs sowie an die Kunden-Q-Leitung Frau Annette Dreier berichtet.</w:t>
      </w:r>
    </w:p>
    <w:p>
      <w:pPr>
        <w:pStyle w:val="Heading3"/>
      </w:pPr>
      <w:r>
        <w:t>Eskalation bei Nicht-Erfuellung</w:t>
      </w:r>
    </w:p>
    <w:p>
      <w:r>
        <w:t>Bei Nicht-Erfuellung der Meilensteine binnen 90 Tagen behaelt sich der Kunde die ausserordentliche Kuendigung gemaess § 314 BGB sowie die Re-Sourcing-Aktion fuer die betroffenen Programme vor. Brennhagen wird im worst case mit einem Volumenverlust von schaetzungsweise 189 Mio. EUR rechnen muessen. Eine Vorstand-Eskalation an Anna Mueller (CEO) und das Aufsichtsrats-Pruefungs-Komitee (Prof. Voss) wurde am 18.03.2021 durchgefuehrt.</w:t>
      </w:r>
    </w:p>
    <w:p>
      <w:pPr>
        <w:pStyle w:val="Heading3"/>
      </w:pPr>
      <w:r>
        <w:t>Unterschriften</w:t>
      </w:r>
    </w:p>
    <w:p>
      <w:r>
        <w:t>Ort, Datum: Stuttgart, den 22. Maerz 2021</w:t>
      </w:r>
    </w:p>
    <w:p>
      <w:r>
        <w:t>_________________________            _________________________</w:t>
        <w:br/>
        <w:t>Stefan Richter                          Anna Mueller</w:t>
        <w:br/>
        <w:t>CMO / BD                          CEO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