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Versorgungsbestaetigung Continental AG (2023)</w:t>
      </w:r>
    </w:p>
    <w:p>
      <w:pPr>
        <w:jc w:val="center"/>
      </w:pPr>
      <w:r>
        <w:t>Brennhagen-Bestaetigung der Liefersicherheit fuer die Programme des Kunden</w:t>
      </w:r>
    </w:p>
    <w:p/>
    <w:p>
      <w:pPr>
        <w:pStyle w:val="Heading3"/>
      </w:pPr>
      <w:r>
        <w:t>Adressat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Bestaetigung der Liefersicherheit</w:t>
      </w:r>
    </w:p>
    <w:p>
      <w:r>
        <w:t>Sehr geehrte/r Herr Dr. Henning Brungs,</w:t>
      </w:r>
    </w:p>
    <w:p>
      <w:r>
        <w:t>hiermit bestaetigen wir Ihnen die Liefersicherheit fuer Ihre Programme ICP-3, BMS-12, ADAS-V4D, ECU-900 fuer das Geschaeftsjahr 2023 sowie das Folgejahr 2024 auf Basis der unten genannten Volumenzusagen.</w:t>
      </w:r>
    </w:p>
    <w:p>
      <w:r>
        <w:t>Wir bestaetigen die Verfuegbarkeit der notwendigen Werks-Kapazitaeten (REG Heilbronn Linien 1-4, RPL Katowice SMD) sowie die Allokation der kritischen Halbleiter (Infineon AURIX, NXP S32, TSMC Wafer-Kontingente).</w:t>
      </w:r>
    </w:p>
    <w:p>
      <w:pPr>
        <w:pStyle w:val="Heading3"/>
      </w:pPr>
      <w:r>
        <w:t>Plan-Volumen je Programm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Programm</w:t>
            </w:r>
          </w:p>
        </w:tc>
        <w:tc>
          <w:tcPr>
            <w:tcW w:type="dxa" w:w="2880"/>
          </w:tcPr>
          <w:p>
            <w:r>
              <w:t>Plan 2023 (Einheiten)</w:t>
            </w:r>
          </w:p>
        </w:tc>
        <w:tc>
          <w:tcPr>
            <w:tcW w:type="dxa" w:w="2880"/>
          </w:tcPr>
          <w:p>
            <w:r>
              <w:t>Plan 2024 (Einheiten)</w:t>
            </w:r>
          </w:p>
        </w:tc>
      </w:tr>
      <w:tr>
        <w:tc>
          <w:tcPr>
            <w:tcW w:type="dxa" w:w="2880"/>
          </w:tcPr>
          <w:p>
            <w:r>
              <w:t>ICP-3</w:t>
            </w:r>
          </w:p>
        </w:tc>
        <w:tc>
          <w:tcPr>
            <w:tcW w:type="dxa" w:w="2880"/>
          </w:tcPr>
          <w:p>
            <w:r>
              <w:t>170.000</w:t>
            </w:r>
          </w:p>
        </w:tc>
        <w:tc>
          <w:tcPr>
            <w:tcW w:type="dxa" w:w="2880"/>
          </w:tcPr>
          <w:p>
            <w:r>
              <w:t>180.000</w:t>
            </w:r>
          </w:p>
        </w:tc>
      </w:tr>
      <w:tr>
        <w:tc>
          <w:tcPr>
            <w:tcW w:type="dxa" w:w="2880"/>
          </w:tcPr>
          <w:p>
            <w:r>
              <w:t>BMS-12</w:t>
            </w:r>
          </w:p>
        </w:tc>
        <w:tc>
          <w:tcPr>
            <w:tcW w:type="dxa" w:w="2880"/>
          </w:tcPr>
          <w:p>
            <w:r>
              <w:t>220.000</w:t>
            </w:r>
          </w:p>
        </w:tc>
        <w:tc>
          <w:tcPr>
            <w:tcW w:type="dxa" w:w="2880"/>
          </w:tcPr>
          <w:p>
            <w:r>
              <w:t>245.000</w:t>
            </w:r>
          </w:p>
        </w:tc>
      </w:tr>
      <w:tr>
        <w:tc>
          <w:tcPr>
            <w:tcW w:type="dxa" w:w="2880"/>
          </w:tcPr>
          <w:p>
            <w:r>
              <w:t>ADAS-V4D</w:t>
            </w:r>
          </w:p>
        </w:tc>
        <w:tc>
          <w:tcPr>
            <w:tcW w:type="dxa" w:w="2880"/>
          </w:tcPr>
          <w:p>
            <w:r>
              <w:t>95.000</w:t>
            </w:r>
          </w:p>
        </w:tc>
        <w:tc>
          <w:tcPr>
            <w:tcW w:type="dxa" w:w="2880"/>
          </w:tcPr>
          <w:p>
            <w:r>
              <w:t>110.000</w:t>
            </w:r>
          </w:p>
        </w:tc>
      </w:tr>
      <w:tr>
        <w:tc>
          <w:tcPr>
            <w:tcW w:type="dxa" w:w="2880"/>
          </w:tcPr>
          <w:p>
            <w:r>
              <w:t>ECU-900</w:t>
            </w:r>
          </w:p>
        </w:tc>
        <w:tc>
          <w:tcPr>
            <w:tcW w:type="dxa" w:w="2880"/>
          </w:tcPr>
          <w:p>
            <w:r>
              <w:t>145.000</w:t>
            </w:r>
          </w:p>
        </w:tc>
        <w:tc>
          <w:tcPr>
            <w:tcW w:type="dxa" w:w="2880"/>
          </w:tcPr>
          <w:p>
            <w:r>
              <w:t>152.000</w:t>
            </w:r>
          </w:p>
        </w:tc>
      </w:tr>
    </w:tbl>
    <w:p>
      <w:pPr>
        <w:pStyle w:val="Heading3"/>
      </w:pPr>
      <w:r>
        <w:t>Kapazitaets- und Risikobewertung</w:t>
      </w:r>
    </w:p>
    <w:p>
      <w:r>
        <w:t>Werks-Kapazitaet ist abgesichert: (1) REG Heilbronn Linie 1-4 mit verbindlicher Erweiterung Linie 4 (Investitionsfreigabe 28,4 Mio. EUR durch Vorstand am 14.09.2022); (2) RPL Katowice SMD-Erweiterung um 15 % (Investition 6,2 Mio. EUR). Halbleiter-Allokation: Long-term Agreements mit Infineon (laufend bis 2030), NXP (laufend bis 2028), Renesas (Aufbau zweite Quelle in Pruefung).</w:t>
      </w:r>
    </w:p>
    <w:p>
      <w:pPr>
        <w:pStyle w:val="Heading3"/>
      </w:pPr>
      <w:r>
        <w:t>Verbleibende Risiken</w:t>
      </w:r>
    </w:p>
    <w:p>
      <w:pPr>
        <w:pStyle w:val="ListBullet"/>
      </w:pPr>
      <w:r>
        <w:t>Restrisiko Halbleiter-Marktallokation TSMC N5/N7 (Backup-Strategie aktiv)</w:t>
      </w:r>
    </w:p>
    <w:p>
      <w:pPr>
        <w:pStyle w:val="ListBullet"/>
      </w:pPr>
      <w:r>
        <w:t>Restrisiko Lieferkette China (Aufbau zweite Quelle in Pruefung)</w:t>
      </w:r>
    </w:p>
    <w:p>
      <w:pPr>
        <w:pStyle w:val="ListBullet"/>
      </w:pPr>
      <w:r>
        <w:t>Restrisiko Werks-Auslastung bei OEM-Volumen-Verschiebung &gt; 25 %</w:t>
      </w:r>
    </w:p>
    <w:p>
      <w:pPr>
        <w:pStyle w:val="ListBullet"/>
      </w:pPr>
      <w:r>
        <w:t>Restrisiko Energiekosten (durch Hedging Erdgas/Strom abgesichert bis Q4 2024)</w:t>
      </w:r>
    </w:p>
    <w:p>
      <w:pPr>
        <w:pStyle w:val="Heading3"/>
      </w:pPr>
      <w:r>
        <w:t>Unterschriften</w:t>
      </w:r>
    </w:p>
    <w:p>
      <w:r>
        <w:t>Ort, Datum: Stuttgart, den 15. Dezember 2023</w:t>
      </w:r>
    </w:p>
    <w:p>
      <w:r>
        <w:t>_________________________            _________________________</w:t>
        <w:br/>
        <w:t>Stefan Richter                          Andreas Maier</w:t>
        <w:br/>
        <w:t>CMO / BD                          Werkleiter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