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Vertragsnachtrag CON (2023)</w:t>
      </w:r>
    </w:p>
    <w:p>
      <w:pPr>
        <w:jc w:val="center"/>
      </w:pPr>
      <w:r>
        <w:t>Ergaenzung zum Rahmenliefervertrag bzw. zu Einzelliefervertraegen</w:t>
      </w:r>
    </w:p>
    <w:p/>
    <w:p>
      <w:pPr>
        <w:pStyle w:val="Heading3"/>
      </w:pPr>
      <w:r>
        <w:t>Vertragsparteien</w:t>
      </w:r>
    </w:p>
    <w:p>
      <w:r>
        <w:t>Empfaengerin:</w:t>
        <w:br/>
        <w:t>Continental Aktiengesellschaft</w:t>
        <w:br/>
        <w:t>Vahrenwalder Strasse 9, 30165 Hannover</w:t>
      </w:r>
    </w:p>
    <w:p>
      <w:r>
        <w:t>Ansprechpartner Einkauf: Herr Dr. Henning Brungs (Strategic Purchasing Lead (Tier-2 Programme))</w:t>
        <w:br/>
        <w:t>Werk / Bedarfsstelle: Werk Regensburg / Werk Babenhausen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Gegenstand</w:t>
      </w:r>
    </w:p>
    <w:p>
      <w:r>
        <w:t>Hiermit vereinbaren die Parteien folgende Aenderungen / Ergaenzungen zu den bestehenden Vertraegen (Rahmenliefervertrag vom 14. Maerz 2022 sowie produktbezogene Einzelliefervertraege ICP-3 / BMS-12 / ADAS-V4D / ECU-900). Der Nachtrag tritt mit beidseitiger Unterzeichnung in Kraft.</w:t>
      </w:r>
    </w:p>
    <w:p>
      <w:pPr>
        <w:pStyle w:val="Heading3"/>
      </w:pPr>
      <w:r>
        <w:t>Aenderungspunkte</w:t>
      </w:r>
    </w:p>
    <w:p>
      <w:pPr>
        <w:pStyle w:val="Heading4"/>
      </w:pPr>
      <w:r>
        <w:t>§ 1 Anpassung Material-Pass-Through-Klausel</w:t>
      </w:r>
    </w:p>
    <w:p>
      <w:r>
        <w:rPr>
          <w:b/>
        </w:rPr>
        <w:t xml:space="preserve">(1) </w:t>
      </w:r>
      <w:r>
        <w:t>Der bisherige Quartals-Index fuer Halbleiter (Wafer Composite SEMI/SIA) wird um den Forecasted Index Wafer Pricing (Quelle TrendForce) ergaenzt. Wirkung: Monatliche statt quartalsweise Anpassung fuer kritische Halbleiter.</w:t>
      </w:r>
    </w:p>
    <w:p>
      <w:r>
        <w:rPr>
          <w:b/>
        </w:rPr>
        <w:t xml:space="preserve">(2) </w:t>
      </w:r>
      <w:r>
        <w:t>Die Pass-Through-Quote wird einheitlich auf 95 % festgelegt (5 % Productivity-Beteiligung Brennhagen). Vorher zwischen Programmen unterschiedlich (75-95 %).</w:t>
      </w:r>
    </w:p>
    <w:p>
      <w:pPr>
        <w:pStyle w:val="Heading4"/>
      </w:pPr>
      <w:r>
        <w:t>§ 2 Erweiterung Sondergarantie</w:t>
      </w:r>
    </w:p>
    <w:p>
      <w:r>
        <w:rPr>
          <w:b/>
        </w:rPr>
        <w:t xml:space="preserve">(1) </w:t>
      </w:r>
      <w:r>
        <w:t>Sondergarantie fuer BMS-12 wird von 5 Jahre / 150.000 km auf 8 Jahre / 160.000 km erweitert (Anforderung aus OEM-Roadmap E-Mobility).</w:t>
      </w:r>
    </w:p>
    <w:p>
      <w:r>
        <w:rPr>
          <w:b/>
        </w:rPr>
        <w:t xml:space="preserve">(2) </w:t>
      </w:r>
      <w:r>
        <w:t>Stueckpreis-Anpassung: +0,80 EUR / Einheit ab Wirksamkeit Nachtrag.</w:t>
      </w:r>
    </w:p>
    <w:p>
      <w:pPr>
        <w:pStyle w:val="Heading4"/>
      </w:pPr>
      <w:r>
        <w:t>§ 3 Volumen-Adjustment</w:t>
      </w:r>
    </w:p>
    <w:p>
      <w:r>
        <w:rPr>
          <w:b/>
        </w:rPr>
        <w:t xml:space="preserve">(1) </w:t>
      </w:r>
      <w:r>
        <w:t>Plan-Jahresvolumen BMS-12 wird auf Basis aktualisierter OEM-Forecast von 220.000 auf 245.000 Einheiten erhoeht; entsprechende Kapazitaets-Reservierung REG Heilbronn Linie 4 wird durch Brennhagen vorgenommen.</w:t>
      </w:r>
    </w:p>
    <w:p>
      <w:r>
        <w:rPr>
          <w:b/>
        </w:rPr>
        <w:t xml:space="preserve">(2) </w:t>
      </w:r>
      <w:r>
        <w:t>Anschubfinanzierung Kapazitaetsausbau: Kunde traegt 35 % von 12,4 Mio. EUR (= 4,3 Mio. EUR), verteilt auf erste 12 Lieferzyklen.</w:t>
      </w:r>
    </w:p>
    <w:p>
      <w:pPr>
        <w:pStyle w:val="Heading4"/>
      </w:pPr>
      <w:r>
        <w:t>§ 4 Restbestimmungen</w:t>
      </w:r>
    </w:p>
    <w:p>
      <w:r>
        <w:rPr>
          <w:b/>
        </w:rPr>
        <w:t xml:space="preserve">(1) </w:t>
      </w:r>
      <w:r>
        <w:t>Alle uebrigen Bestimmungen der bestehenden Vertraege bleiben unveraendert.</w:t>
      </w:r>
    </w:p>
    <w:p>
      <w:r>
        <w:rPr>
          <w:b/>
        </w:rPr>
        <w:t xml:space="preserve">(2) </w:t>
      </w:r>
      <w:r>
        <w:t>Vorrangregelung: dieser Nachtrag vor Rahmenvertrag / Einzelvertrag.</w:t>
      </w:r>
    </w:p>
    <w:p>
      <w:pPr>
        <w:pStyle w:val="Heading3"/>
      </w:pPr>
      <w:r>
        <w:t>Unterschriften</w:t>
      </w:r>
    </w:p>
    <w:p>
      <w:r>
        <w:t>Ort, Datum: Stuttgart, den 14. Oktober 2023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