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Vertriebs- und OEM-Begleitdokument – REA_FX_Hedge_EUR_CNY_2022_Q3</w:t>
      </w:r>
    </w:p>
    <w:p>
      <w:pPr>
        <w:jc w:val="center"/>
      </w:pPr>
      <w:r>
        <w:t>Begleit-Dokument im OEM-Vertrieb (Verschiedenes / Querverweis-Dokument)</w:t>
      </w:r>
    </w:p>
    <w:p/>
    <w:p>
      <w:pPr>
        <w:pStyle w:val="Heading3"/>
      </w:pPr>
      <w:r>
        <w:t>Einordnung</w:t>
      </w:r>
    </w:p>
    <w:p>
      <w:r>
        <w:t>Dieses Dokument ist Bestandteil der OEM-Vertriebsakte der Brennhagen Elektronik AG. Inhalt: Begleitdokument zu OEM-Programmen, Audit-Vorbereitungen, Werks- oder Versicherungs-Aspekten, die mit den OEM-Liefer-Verpflichtungen verknuepft sind. Es dient als Cross-Reference zu den Hauptliefer-Vertraegen, QBRs sowie zur Audit-Vorbereitung mit den Premium-OEMs (BMW, VW, Mercedes-Benz, Stellantis, Continental).</w:t>
      </w:r>
    </w:p>
    <w:p>
      <w:pPr>
        <w:pStyle w:val="Heading3"/>
      </w:pPr>
      <w:r>
        <w:t>Hintergrund</w:t>
      </w:r>
    </w:p>
    <w:p>
      <w:r>
        <w:t>Die Brennhagen Elektronik AG fuehrt im Segment OEM-Vertrieb (Tier-1 Automotive) ein Portfolio aus 5 Hauptprodukten (ICP-3, BMS-12, ADAS-V4D, ECU-900, LightCtrl-7) fuer die Premium-OEMs. Begleitdokumente wie dieses sichern die Nachvollziehbarkeit der Programme, Audits und Versicherungs-Aspekte. Verantwortlich: Stefan Richter (CMO/BD), in Koordination mit Sabine Brand (Q-Leitung REG Heilbronn) und Markus Pflanzer (Group Treasurer / Versicherung).</w:t>
      </w:r>
    </w:p>
    <w:p>
      <w:pPr>
        <w:pStyle w:val="Heading3"/>
      </w:pPr>
      <w:r>
        <w:t>Verweise und Cross-Reference</w:t>
      </w:r>
    </w:p>
    <w:p>
      <w:pPr>
        <w:pStyle w:val="ListBullet"/>
      </w:pPr>
      <w:r>
        <w:t>Rahmenliefervertraege OEMs 2022 (BMW, VW, Mercedes-Benz, Stellantis, Continental)</w:t>
      </w:r>
    </w:p>
    <w:p>
      <w:pPr>
        <w:pStyle w:val="ListBullet"/>
      </w:pPr>
      <w:r>
        <w:t>QBR-Berichte aller Programme (quartalsweise, je OEM und Produkt)</w:t>
      </w:r>
    </w:p>
    <w:p>
      <w:pPr>
        <w:pStyle w:val="ListBullet"/>
      </w:pPr>
      <w:r>
        <w:t>Kundenaudit-Berichte VDA 6.3 / IATF 16949 der letzten 3 Jahre</w:t>
      </w:r>
    </w:p>
    <w:p>
      <w:pPr>
        <w:pStyle w:val="ListBullet"/>
      </w:pPr>
      <w:r>
        <w:t>Versicherungspolice Industriefeuer / Betriebsunterbrechung Werk Heilbronn</w:t>
      </w:r>
    </w:p>
    <w:p>
      <w:pPr>
        <w:pStyle w:val="ListBullet"/>
      </w:pPr>
      <w:r>
        <w:t>Intercompany-Lieferung REG / RSG / RPL fuer OEM-Programme</w:t>
      </w:r>
    </w:p>
    <w:p>
      <w:pPr>
        <w:pStyle w:val="Heading3"/>
      </w:pPr>
      <w:r>
        <w:t>Aktueller Stand</w:t>
      </w:r>
    </w:p>
    <w:p>
      <w:r>
        <w:t>Das Dokument wird im Rahmen der laufenden OEM-Audits sowie der internen Revision regelmaessig aktualisiert. Die letzten Aktualisierungen erfolgten in Abstimmung mit der Qualitaetsleitung sowie dem Group Audit Executive (Andreas Buehler). Aufbewahrungsfrist gemaess Rahmenliefervertraegen: 15 Jahre nach EOP der letzten Lieferung.</w:t>
      </w:r>
    </w:p>
    <w:p>
      <w:pPr>
        <w:pStyle w:val="Heading3"/>
      </w:pPr>
      <w:r>
        <w:t>Verantwortlichkeit</w:t>
      </w:r>
    </w:p>
    <w:p>
      <w:r>
        <w:t>Inhaltlich verantwortlich: Stefan Richter (CMO/BD). Q-Aspekte: Sabine Brand (Q-Leitung REG Heilbronn). Treasury-/Versicherungs-Aspekte: Markus Pflanzer (Group Treasurer). Eskalation: Anna Mueller (CEO) bzw. Stefan Hoffmann (CTO bis 30.6.2024) / Dr. Petra Hollmann (CTO ab 1.7.2024).</w:t>
      </w:r>
    </w:p>
    <w:p>
      <w:pPr>
        <w:pStyle w:val="Heading3"/>
      </w:pPr>
      <w:r>
        <w:t>Unterschriften</w:t>
      </w:r>
    </w:p>
    <w:p>
      <w:r>
        <w:t>Ort, Datum: Stuttgart, den laufend</w:t>
      </w:r>
    </w:p>
    <w:p>
      <w:r>
        <w:t>_________________________            _________________________</w:t>
        <w:br/>
        <w:t>Stefan Richter                          Sabine Brand</w:t>
        <w:br/>
        <w:t>CMO / BD                          Q-Leitung REG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