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MBZ-ADAS-V4D-ECR-2023-003</w:t>
      </w:r>
    </w:p>
    <w:p>
      <w:pPr>
        <w:jc w:val="center"/>
      </w:pPr>
      <w:r>
        <w:t>Aenderungsantrag im Rahmen Programm MBZ-ADAS-V4D-2023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MBZ-ADAS-V4D-ECR-2023-003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MBZ-ADAS-V4D-2023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