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MBZ – Radar Fusion Steuergeraet ADAS-V4D – 2022 Q2</w:t>
      </w:r>
    </w:p>
    <w:p>
      <w:pPr>
        <w:jc w:val="center"/>
      </w:pPr>
      <w:r>
        <w:t>Programm-Statusbericht zwischen Brennhagen Elektronik AG und Mercedes-Benz Group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Herr Dr. Joachim Lenz (Director Procurement E/E Systems), Herr Bernd Klotz (SQE), Frau Marianne Erhardt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MBZ-ADAS-V4D-2022; Fertigungswerk Brennhagen Elektronik GmbH (REG), Heilbronn – Linie 1; Software-Stack RSG Muenchen (ASPICE Level 3); SOP-Status Q2 2023;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25.840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21.5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11.7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MBZ-ADAS-V4D liegt im Quartal 2022 Q2 im Wesentlichen im Plan. Die geplante Liefermenge wurde mit 189 %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99.2 %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MBZ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Bernd Klotz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