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Radar Fusion Steuergeraet ADAS-V4D – 2022 Q3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MBZ-ADAS-V4D-2022; Fertigungswerk Brennhagen Elektronik GmbH (REG), Heilbronn – Linie 1; Software-Stack RSG Muenchen (ASPICE Level 3); SOP-Status Q2 2023;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22.040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16.9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7.7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MBZ-ADAS-V4D liegt im Quartal 2022 Q3 im Wesentlichen im Plan. Die geplante Liefermenge wurde mit 109 %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95.2 %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