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Radar Fusion Steuergeraet ADAS-V4D – 2022 Q4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MBZ-ADAS-V4D-2022; Fertigungswerk Brennhagen Elektronik GmbH (REG), Heilbronn – Linie 1; Software-Stack RSG Muenchen (ASPICE Level 3); SOP-Status Q2 2023;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22.372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17.3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MBZ-ADAS-V4D liegt im Quartal 2022 Q4 im Wesentlichen im Plan. Die geplante Liefermenge wurde mit 116 %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95.5 % (Ziel &gt; 98,5 %). Sondertransporte: 1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