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Radar Fusion Steuergeraet ADAS-V4D – 2023 Q1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MBZ-ADAS-V4D-2023; Fertigungswerk Brennhagen Elektronik GmbH (REG), Heilbronn – Linie 1; Software-Stack RSG Muenchen (ASPICE Level 3); SOP-Status Q2 2023; aktuelle Berichtsperiode: 2023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21.755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16.6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94.9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7.4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MBZ-ADAS-V4D liegt im Quartal 2023 Q1 im Wesentlichen im Plan. Die geplante Liefermenge wurde mit 103 %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94.9 % (Ziel &gt; 98,5 %). Sondertransporte: 0 (Vorquartal: 0), Kosten 18-32 TEUR – traegt Brennhagen. Frozen-Zone-Adherence durch Kunde 92 %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Q1-Ende 2023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