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Radar Fusion Steuergeraet ADAS-V4D – 2023 Q3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MBZ-ADAS-V4D-2023; Fertigungswerk Brennhagen Elektronik GmbH (REG), Heilbronn – Linie 1; Software-Stack RSG Muenchen (ASPICE Level 3); SOP-Status Q2 2023;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24.890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20.3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10.7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MBZ-ADAS-V4D liegt im Quartal 2023 Q3 im Wesentlichen im Plan. Die geplante Liefermenge wurde mit 169 %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98.2 %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