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Kundenspezifische Anforderungen (CSR) Mercedes-Benz Group AG – Stand 2023</w:t>
      </w:r>
    </w:p>
    <w:p>
      <w:pPr>
        <w:jc w:val="center"/>
      </w:pPr>
      <w:r>
        <w:t>Customer-Specific Requirements zur Ergaenzung von IATF 16949 / VDA 6.3</w:t>
      </w:r>
    </w:p>
    <w:p/>
    <w:p>
      <w:pPr>
        <w:pStyle w:val="Heading3"/>
      </w:pPr>
      <w:r>
        <w:t>Geltungsbereich</w:t>
      </w:r>
    </w:p>
    <w:p>
      <w:r>
        <w:t>Diese Customer-Specific Requirements (MBZ-CSR Rev. 2023) gelten fuer alle Lieferungen der Brennhagen Elektronik AG an Mercedes-Benz Group AG sowie an die OEM-Werke Werk Sindelfingen / Werk Bremen. Sie ergaenzen die IATF-16949-Anforderungen sowie die VDA-6.3-Auditkriterien. Im Konfliktfall geht die Kundenanforderung vor.</w:t>
      </w:r>
    </w:p>
    <w:p>
      <w:pPr>
        <w:pStyle w:val="Heading3"/>
      </w:pPr>
      <w:r>
        <w:t>1. Qualitaetsanforderungen</w:t>
      </w:r>
    </w:p>
    <w:p>
      <w:pPr>
        <w:pStyle w:val="ListBullet"/>
      </w:pPr>
      <w:r>
        <w:t>ppm-Ziel &lt; 25 (rollierend 3 Monate) fuer Standard-Programme</w:t>
      </w:r>
    </w:p>
    <w:p>
      <w:pPr>
        <w:pStyle w:val="ListBullet"/>
      </w:pPr>
      <w:r>
        <w:t>ppm-Ziel &lt; 15 fuer sicherheitsrelevante Steuergeraete (ASIL-C/D)</w:t>
      </w:r>
    </w:p>
    <w:p>
      <w:pPr>
        <w:pStyle w:val="ListBullet"/>
      </w:pPr>
      <w:r>
        <w:t>0-ppm-Politik fuer Audits-Befunde Klasse A (Major)</w:t>
      </w:r>
    </w:p>
    <w:p>
      <w:pPr>
        <w:pStyle w:val="ListBullet"/>
      </w:pPr>
      <w:r>
        <w:t>Lifetime-Garantie 5 Jahre / 150.000 km fuer ADAS-V4D, BMS-12</w:t>
      </w:r>
    </w:p>
    <w:p>
      <w:pPr>
        <w:pStyle w:val="ListBullet"/>
      </w:pPr>
      <w:r>
        <w:t>8D-Frist: D3 binnen 24 h, D5 binnen 14 Tagen, D8 binnen 90 Tagen</w:t>
      </w:r>
    </w:p>
    <w:p>
      <w:pPr>
        <w:pStyle w:val="ListBullet"/>
      </w:pPr>
      <w:r>
        <w:t>Wirksamkeitsmessung verpflichtend (in WebQM-Portal zu dokumentieren)</w:t>
      </w:r>
    </w:p>
    <w:p>
      <w:pPr>
        <w:pStyle w:val="Heading3"/>
      </w:pPr>
      <w:r>
        <w:t>2. Logistik / Lieferanforderungen</w:t>
      </w:r>
    </w:p>
    <w:p>
      <w:pPr>
        <w:pStyle w:val="ListBullet"/>
      </w:pPr>
      <w:r>
        <w:t>OTD-Ziel 98,5 % (3-Monatsrollend); Eskalation &lt; 95 %</w:t>
      </w:r>
    </w:p>
    <w:p>
      <w:pPr>
        <w:pStyle w:val="ListBullet"/>
      </w:pPr>
      <w:r>
        <w:t>12-Wochen-Frozen-Zone fuer Lieferabrufe (VDA 5009)</w:t>
      </w:r>
    </w:p>
    <w:p>
      <w:pPr>
        <w:pStyle w:val="ListBullet"/>
      </w:pPr>
      <w:r>
        <w:t>EDI-Anbindung VDA 4905/4915 obligatorisch (keine Fax/Email-Abrufe)</w:t>
      </w:r>
    </w:p>
    <w:p>
      <w:pPr>
        <w:pStyle w:val="ListBullet"/>
      </w:pPr>
      <w:r>
        <w:t>JIS (Just-in-Sequence) fuer ICP-3, ADAS-V4D</w:t>
      </w:r>
    </w:p>
    <w:p>
      <w:pPr>
        <w:pStyle w:val="ListBullet"/>
      </w:pPr>
      <w:r>
        <w:t>Verpackung VDA 4500 (KLT); Mehrweg-Behaelterpool des Kunden zu verwenden</w:t>
      </w:r>
    </w:p>
    <w:p>
      <w:pPr>
        <w:pStyle w:val="ListBullet"/>
      </w:pPr>
      <w:r>
        <w:t>Sondertransporte: zu Lasten der verursachenden Partei</w:t>
      </w:r>
    </w:p>
    <w:p>
      <w:pPr>
        <w:pStyle w:val="Heading3"/>
      </w:pPr>
      <w:r>
        <w:t>3. Aenderungsmanagement</w:t>
      </w:r>
    </w:p>
    <w:p>
      <w:r>
        <w:t>Saemtliche Aenderungen unterliegen dem ECR-/PPAP-Verfahren des Kunden. Re-PPAP Level 3 bei: Material-/Lieferanten-Wechsel kritischer Komponenten, Werkzeug-Umzug, Werks-Verlagerung, Software-Major-Release. Re-PPAP Level 2 bei nicht-kritischen Aenderungen.</w:t>
      </w:r>
    </w:p>
    <w:p>
      <w:pPr>
        <w:pStyle w:val="Heading3"/>
      </w:pPr>
      <w:r>
        <w:t>4. Lieferantenmanagement (Sub-Tier)</w:t>
      </w:r>
    </w:p>
    <w:p>
      <w:r>
        <w:t>Brennhagen verpflichtet sich, die CSR-Anforderungen 1:1 an seine kritischen Sub-Lieferanten zu kaskadieren (insb. Halbleiter-Hersteller: Infineon, NXP, ST, Texas Instruments). Sub-Tier-Audit-Frequenz mindestens 1x in 24 Monaten je kritischem Lieferanten. Dokumentation in Brennhagen-Lieferantenmanagement-System.</w:t>
      </w:r>
    </w:p>
    <w:p>
      <w:pPr>
        <w:pStyle w:val="Heading3"/>
      </w:pPr>
      <w:r>
        <w:t>5. Compliance / Nachhaltigkeit</w:t>
      </w:r>
    </w:p>
    <w:p>
      <w:pPr>
        <w:pStyle w:val="ListBullet"/>
      </w:pPr>
      <w:r>
        <w:t>Lieferantenkodex des Kunden vom Vorstand unterzeichnet (Anhang)</w:t>
      </w:r>
    </w:p>
    <w:p>
      <w:pPr>
        <w:pStyle w:val="ListBullet"/>
      </w:pPr>
      <w:r>
        <w:t>LkSG-Compliance: Jaehrliche Selbstauskunft + Risiko-Assessment</w:t>
      </w:r>
    </w:p>
    <w:p>
      <w:pPr>
        <w:pStyle w:val="ListBullet"/>
      </w:pPr>
      <w:r>
        <w:t>Konfliktmineralien CMRT-Reporting (RMI 6.21+) quartalsweise</w:t>
      </w:r>
    </w:p>
    <w:p>
      <w:pPr>
        <w:pStyle w:val="ListBullet"/>
      </w:pPr>
      <w:r>
        <w:t>CO2-Footprint Scope 1+2 Reporting jaehrlich (CDP)</w:t>
      </w:r>
    </w:p>
    <w:p>
      <w:pPr>
        <w:pStyle w:val="ListBullet"/>
      </w:pPr>
      <w:r>
        <w:t>CO2-Zielpfad -30 % bis 2030 (Basis 2020), -50 % bis 2035</w:t>
      </w:r>
    </w:p>
    <w:p>
      <w:pPr>
        <w:pStyle w:val="Heading3"/>
      </w:pPr>
      <w:r>
        <w:t>6. Vertraulichkeit / IT-Security</w:t>
      </w:r>
    </w:p>
    <w:p>
      <w:r>
        <w:t>TISAX-Label (Stufe AL3) verpflichtend; Audit alle 3 Jahre durch akkreditierte Audit-Provider (z. B. TUEV Sued). Datenaustausch ueber Kunden-Portal mit MFA; PDFs / Anhaenge mit AES-256 Verschluesselung. Zugriffsrechte: Need-to-know-Prinzip.</w:t>
      </w:r>
    </w:p>
    <w:p>
      <w:pPr>
        <w:pStyle w:val="Heading3"/>
      </w:pPr>
      <w:r>
        <w:t>Unterschriften</w:t>
      </w:r>
    </w:p>
    <w:p>
      <w:r>
        <w:t>Ort, Datum: Stuttgart, den 01. Maerz 2023</w:t>
      </w:r>
    </w:p>
    <w:p>
      <w:r>
        <w:t>_________________________            _________________________</w:t>
        <w:br/>
        <w:t>Sabine Brand                          Frau Marianne Erhardt</w:t>
        <w:br/>
        <w:t>Q-Leitung REG                          QMB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