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Powertrain-ECU Gen3 (ECU-900) – 2023 Q2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MBZ-ECU-900-2023; Fertigungswerk Brennhagen Elektronik GmbH (REG), Heilbronn – Linie 2; SMD via RPL Katowice; SOP-Status Q4 2022;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35.670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96.6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MBZ-ECU-900 liegt im Quartal 2023 Q2 im Wesentlichen im Plan. Die geplante Liefermenge wurde mit 137 %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96.6 % (Ziel &gt; 98,5 %). Sondertransporte: 2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