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MBZ-ICP-3-ECR-2022-002</w:t>
      </w:r>
    </w:p>
    <w:p>
      <w:pPr>
        <w:jc w:val="center"/>
      </w:pPr>
      <w:r>
        <w:t>Aenderungsantrag im Rahmen Programm MBZ-ICP-3-2022</w:t>
      </w:r>
    </w:p>
    <w:p/>
    <w:p>
      <w:pPr>
        <w:pStyle w:val="Heading3"/>
      </w:pPr>
      <w:r>
        <w:t>Adressat / Vorgang</w:t>
      </w:r>
    </w:p>
    <w:p>
      <w:r>
        <w:t>Empfaengerin:</w:t>
        <w:br/>
        <w:t>Mercedes-Benz Group AG</w:t>
        <w:br/>
        <w:t>Mercedesstrasse 120, 70372 Stuttgart</w:t>
      </w:r>
    </w:p>
    <w:p>
      <w:r>
        <w:t>Ansprechpartner Einkauf: Herr Dr. Joachim Lenz (Director Procurement E/E Systems)</w:t>
        <w:br/>
        <w:t>Werk / Bedarfsstelle: Werk Sindelfingen / Werk Bremen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ECR-Identifikation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ECR-Nummer</w:t>
            </w:r>
          </w:p>
        </w:tc>
        <w:tc>
          <w:tcPr>
            <w:tcW w:type="dxa" w:w="4320"/>
          </w:tcPr>
          <w:p>
            <w:r>
              <w:t>MBZ-ICP-3-ECR-2022-002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MBZ-ICP-3-2022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InfoConnect Pro (ICP-3)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Eingang Kunde: 08.06.2022</w:t>
            </w:r>
          </w:p>
        </w:tc>
      </w:tr>
      <w:tr>
        <w:tc>
          <w:tcPr>
            <w:tcW w:type="dxa" w:w="4320"/>
          </w:tcPr>
          <w:p>
            <w:r>
              <w:t>Initiator</w:t>
            </w:r>
          </w:p>
        </w:tc>
        <w:tc>
          <w:tcPr>
            <w:tcW w:type="dxa" w:w="4320"/>
          </w:tcPr>
          <w:p>
            <w:r>
              <w:t>Kunde (Konstruktion)</w:t>
            </w:r>
          </w:p>
        </w:tc>
      </w:tr>
      <w:tr>
        <w:tc>
          <w:tcPr>
            <w:tcW w:type="dxa" w:w="4320"/>
          </w:tcPr>
          <w:p>
            <w:r>
              <w:t>Prioritaet</w:t>
            </w:r>
          </w:p>
        </w:tc>
        <w:tc>
          <w:tcPr>
            <w:tcW w:type="dxa" w:w="4320"/>
          </w:tcPr>
          <w:p>
            <w:r>
              <w:t>B (mittel)</w:t>
            </w:r>
          </w:p>
        </w:tc>
      </w:tr>
    </w:tbl>
    <w:p>
      <w:pPr>
        <w:pStyle w:val="Heading3"/>
      </w:pPr>
      <w:r>
        <w:t>Aenderungsbeschreibung</w:t>
      </w:r>
    </w:p>
    <w:p>
      <w:r>
        <w:t>Aenderung des Steckverbinder-Lieferanten von TE Connectivity HFM-Serie auf Molex MX150-Serie aufgrund verbesserter Vibrationsfestigkeit (USCAR-2 Class 3 anstatt Class 2) und gleichbleibender Kosten. Re-PPAP Level 3 erforderlich.</w:t>
      </w:r>
    </w:p>
    <w:p>
      <w:pPr>
        <w:pStyle w:val="Heading3"/>
      </w:pPr>
      <w:r>
        <w:t>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Bereich</w:t>
            </w:r>
          </w:p>
        </w:tc>
        <w:tc>
          <w:tcPr>
            <w:tcW w:type="dxa" w:w="4320"/>
          </w:tcPr>
          <w:p>
            <w:r>
              <w:t>Auswirkung</w:t>
            </w:r>
          </w:p>
        </w:tc>
      </w:tr>
      <w:tr>
        <w:tc>
          <w:tcPr>
            <w:tcW w:type="dxa" w:w="4320"/>
          </w:tcPr>
          <w:p>
            <w:r>
              <w:t>Funktion / Performance</w:t>
            </w:r>
          </w:p>
        </w:tc>
        <w:tc>
          <w:tcPr>
            <w:tcW w:type="dxa" w:w="4320"/>
          </w:tcPr>
          <w:p>
            <w:r>
              <w:t>Verbesserung bzw. unveraendert</w:t>
            </w:r>
          </w:p>
        </w:tc>
      </w:tr>
      <w:tr>
        <w:tc>
          <w:tcPr>
            <w:tcW w:type="dxa" w:w="4320"/>
          </w:tcPr>
          <w:p>
            <w:r>
              <w:t>Sicherheit (ISO 26262)</w:t>
            </w:r>
          </w:p>
        </w:tc>
        <w:tc>
          <w:tcPr>
            <w:tcW w:type="dxa" w:w="4320"/>
          </w:tcPr>
          <w:p>
            <w:r>
              <w:t>Re-Validation auf ASIL-B-Level (Safety Case Update)</w:t>
            </w:r>
          </w:p>
        </w:tc>
      </w:tr>
      <w:tr>
        <w:tc>
          <w:tcPr>
            <w:tcW w:type="dxa" w:w="4320"/>
          </w:tcPr>
          <w:p>
            <w:r>
              <w:t>Werkzeugaufwand (EUR)</w:t>
            </w:r>
          </w:p>
        </w:tc>
        <w:tc>
          <w:tcPr>
            <w:tcW w:type="dxa" w:w="4320"/>
          </w:tcPr>
          <w:p>
            <w:r>
              <w:t>12.500</w:t>
            </w:r>
          </w:p>
        </w:tc>
      </w:tr>
      <w:tr>
        <w:tc>
          <w:tcPr>
            <w:tcW w:type="dxa" w:w="4320"/>
          </w:tcPr>
          <w:p>
            <w:r>
              <w:t>NRE Engineering (EUR)</w:t>
            </w:r>
          </w:p>
        </w:tc>
        <w:tc>
          <w:tcPr>
            <w:tcW w:type="dxa" w:w="4320"/>
          </w:tcPr>
          <w:p>
            <w:r>
              <w:t>28.000</w:t>
            </w:r>
          </w:p>
        </w:tc>
      </w:tr>
      <w:tr>
        <w:tc>
          <w:tcPr>
            <w:tcW w:type="dxa" w:w="4320"/>
          </w:tcPr>
          <w:p>
            <w:r>
              <w:t>Stueckkostenaenderung (EUR)</w:t>
            </w:r>
          </w:p>
        </w:tc>
        <w:tc>
          <w:tcPr>
            <w:tcW w:type="dxa" w:w="4320"/>
          </w:tcPr>
          <w:p>
            <w:r>
              <w:t>+0,42</w:t>
            </w:r>
          </w:p>
        </w:tc>
      </w:tr>
      <w:tr>
        <w:tc>
          <w:tcPr>
            <w:tcW w:type="dxa" w:w="4320"/>
          </w:tcPr>
          <w:p>
            <w:r>
              <w:t>Implementierungsdauer</w:t>
            </w:r>
          </w:p>
        </w:tc>
        <w:tc>
          <w:tcPr>
            <w:tcW w:type="dxa" w:w="4320"/>
          </w:tcPr>
          <w:p>
            <w:r>
              <w:t>12 Wochen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3 (Re-PPAP komplett)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beantragte Aenderung ist technisch und qualitativ umsetzbar. Die unter »Auswirkungen« ausgewiesenen Werkzeug- und NRE-Kosten werden dem Kunden gemaess Rahmenliefervertrag § 7 in Rechnung gestellt. Stueckkostenaenderung wird ab erfolgreichem PPAP-Approval wirksam. Brennhagen empfiehlt Annahme. Risiken: Halbleiter-Allokation IAUC100N04S6L (Infineon bestaetigt Liefersicherheit; LOA bis 2030 vorliegend).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Freigabe ECR durch Kunden-Konstruktionsleitung erforderlich</w:t>
      </w:r>
    </w:p>
    <w:p>
      <w:pPr>
        <w:pStyle w:val="ListBullet"/>
      </w:pPr>
      <w:r>
        <w:t>Kostenstellungnahme Brennhagen: bereits in Kommerziellem Angebot enthalten</w:t>
      </w:r>
    </w:p>
    <w:p>
      <w:pPr>
        <w:pStyle w:val="ListBullet"/>
      </w:pPr>
      <w:r>
        <w:t>Erstmusterlieferung Re-PPAP: +8 Wochen ab Freigabe</w:t>
      </w:r>
    </w:p>
    <w:p>
      <w:pPr>
        <w:pStyle w:val="ListBullet"/>
      </w:pPr>
      <w:r>
        <w:t>Serienanlauf nach erfolgreichem PPAP: +12 Wochen ab Freigabe</w:t>
      </w:r>
    </w:p>
    <w:p>
      <w:pPr>
        <w:pStyle w:val="ListBullet"/>
      </w:pPr>
      <w:r>
        <w:t>Reporting im naechsten QBR</w:t>
      </w:r>
    </w:p>
    <w:p>
      <w:pPr>
        <w:pStyle w:val="Heading3"/>
      </w:pPr>
      <w:r>
        <w:t>Unterschriften</w:t>
      </w:r>
    </w:p>
    <w:p>
      <w:r>
        <w:t>Ort, Datum: Stuttgart, den 30. Juni 2022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