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Preisanpassungsschreiben an Mercedes-Benz Group AG (2022)</w:t>
      </w:r>
    </w:p>
    <w:p>
      <w:pPr>
        <w:jc w:val="center"/>
      </w:pPr>
      <w:r>
        <w:t>Material-Eskalation und ausserordentliche Preisanpassung im Anlauffall</w:t>
      </w:r>
    </w:p>
    <w:p/>
    <w:p>
      <w:pPr>
        <w:pStyle w:val="Heading3"/>
      </w:pPr>
      <w:r>
        <w:t>Adressat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Anlass und Begruendung</w:t>
      </w:r>
    </w:p>
    <w:p>
      <w:r>
        <w:t>Sehr geehrte/r Herr Dr. Joachim Lenz,</w:t>
      </w:r>
    </w:p>
    <w:p>
      <w:r>
        <w:t>hiermit teilen wir Ihnen mit, dass die Brennhagen Elektronik AG aufgrund einer ausserordentlichen Material-Eskalation am Halbleiter-Markt (insbesondere Infineon AURIX MCU, NXP S32-Familie, NOR-Flash) eine ausserordentliche Preisanpassung vornehmen muss, die ueber den im Rahmenliefervertrag § 4 (Material-Pass-Through) definierten Quartals-Index hinausgeht. Die Anpassung wirkt ab 01.10.2022 bis auf weiteres.</w:t>
      </w:r>
    </w:p>
    <w:p>
      <w:pPr>
        <w:pStyle w:val="Heading3"/>
      </w:pPr>
      <w:r>
        <w:t>Konkret betroffene Programme und Preisaenderungen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Programm</w:t>
            </w:r>
          </w:p>
        </w:tc>
        <w:tc>
          <w:tcPr>
            <w:tcW w:type="dxa" w:w="2160"/>
          </w:tcPr>
          <w:p>
            <w:r>
              <w:t>Aktueller Stueckpreis (EUR)</w:t>
            </w:r>
          </w:p>
        </w:tc>
        <w:tc>
          <w:tcPr>
            <w:tcW w:type="dxa" w:w="2160"/>
          </w:tcPr>
          <w:p>
            <w:r>
              <w:t>Neuer Stueckpreis (EUR)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</w:tr>
      <w:tr>
        <w:tc>
          <w:tcPr>
            <w:tcW w:type="dxa" w:w="2160"/>
          </w:tcPr>
          <w:p>
            <w:r>
              <w:t>ICP-3 Infotainment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428,80</w:t>
            </w:r>
          </w:p>
        </w:tc>
        <w:tc>
          <w:tcPr>
            <w:tcW w:type="dxa" w:w="2160"/>
          </w:tcPr>
          <w:p>
            <w:r>
              <w:t>+4,0 %</w:t>
            </w:r>
          </w:p>
        </w:tc>
      </w:tr>
      <w:tr>
        <w:tc>
          <w:tcPr>
            <w:tcW w:type="dxa" w:w="2160"/>
          </w:tcPr>
          <w:p>
            <w:r>
              <w:t>BMS-12 EV-Battery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298,40</w:t>
            </w:r>
          </w:p>
        </w:tc>
        <w:tc>
          <w:tcPr>
            <w:tcW w:type="dxa" w:w="2160"/>
          </w:tcPr>
          <w:p>
            <w:r>
              <w:t>+4,7 %</w:t>
            </w:r>
          </w:p>
        </w:tc>
      </w:tr>
      <w:tr>
        <w:tc>
          <w:tcPr>
            <w:tcW w:type="dxa" w:w="2160"/>
          </w:tcPr>
          <w:p>
            <w:r>
              <w:t>ADAS-V4D Radar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832,40</w:t>
            </w:r>
          </w:p>
        </w:tc>
        <w:tc>
          <w:tcPr>
            <w:tcW w:type="dxa" w:w="2160"/>
          </w:tcPr>
          <w:p>
            <w:r>
              <w:t>+4,3 %</w:t>
            </w:r>
          </w:p>
        </w:tc>
      </w:tr>
      <w:tr>
        <w:tc>
          <w:tcPr>
            <w:tcW w:type="dxa" w:w="2160"/>
          </w:tcPr>
          <w:p>
            <w:r>
              <w:t>ECU-900 Powertrain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208,20</w:t>
            </w:r>
          </w:p>
        </w:tc>
        <w:tc>
          <w:tcPr>
            <w:tcW w:type="dxa" w:w="2160"/>
          </w:tcPr>
          <w:p>
            <w:r>
              <w:t>+4,9 %</w:t>
            </w:r>
          </w:p>
        </w:tc>
      </w:tr>
    </w:tbl>
    <w:p>
      <w:pPr>
        <w:pStyle w:val="Heading3"/>
      </w:pPr>
      <w:r>
        <w:t>Datengrundlage / Belege</w:t>
      </w:r>
    </w:p>
    <w:p>
      <w:pPr>
        <w:pStyle w:val="ListBullet"/>
      </w:pPr>
      <w:r>
        <w:t>Infineon Pricing-Letter vom 12.04.2022 (Preiserhoehung MCU +12 %)</w:t>
      </w:r>
    </w:p>
    <w:p>
      <w:pPr>
        <w:pStyle w:val="ListBullet"/>
      </w:pPr>
      <w:r>
        <w:t>NXP Allocation Letter (Q2 2022) mit Schadens-MoQ-Reduktion</w:t>
      </w:r>
    </w:p>
    <w:p>
      <w:pPr>
        <w:pStyle w:val="ListBullet"/>
      </w:pPr>
      <w:r>
        <w:t>TSMC Wafer-Pricing-Update (Maerz 2022): +18 % Allgemein</w:t>
      </w:r>
    </w:p>
    <w:p>
      <w:pPr>
        <w:pStyle w:val="ListBullet"/>
      </w:pPr>
      <w:r>
        <w:t>Buntmetalle LME Kupfer-Index Anstieg +24 % seit Q4 2021</w:t>
      </w:r>
    </w:p>
    <w:p>
      <w:pPr>
        <w:pStyle w:val="ListBullet"/>
      </w:pPr>
      <w:r>
        <w:t>Energiepreise (Werk Heilbronn) Anstieg +35 % gegenueber Plan</w:t>
      </w:r>
    </w:p>
    <w:p>
      <w:pPr>
        <w:pStyle w:val="Heading3"/>
      </w:pPr>
      <w:r>
        <w:t>Verhandlungsangebot</w:t>
      </w:r>
    </w:p>
    <w:p>
      <w:r>
        <w:t>Wir schlagen vor, die Preisanpassung im Sinne einer partnerschaftlichen Lastenteilung wie folgt zu strukturieren: (1) 60 % Brennhagen (durch interne Wertanalyse und Volumen-Bundling); (2) 30 % Kunde (als ausserordentliche Eskalation); (3) 10 % gemeinsam aus Wertanalyse-Projekt (Re-Design Halbleiter-Konfiguration). Eine entsprechende Vereinbarung gem. § 6 Rahmenvertrag schlagen wir zum naechsten Steering-Termin vor.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Telefon-/Video-Konferenz innerhalb 5 Werktagen mit Herr Dr. Joachim Lenz</w:t>
      </w:r>
    </w:p>
    <w:p>
      <w:pPr>
        <w:pStyle w:val="ListBullet"/>
      </w:pPr>
      <w:r>
        <w:t>Verbindliche Antwort des Kunden binnen 14 Tagen</w:t>
      </w:r>
    </w:p>
    <w:p>
      <w:pPr>
        <w:pStyle w:val="ListBullet"/>
      </w:pPr>
      <w:r>
        <w:t>Bei Nichteinigung: Eskalation an Vorstand beider Parteien (CEO-Brief)</w:t>
      </w:r>
    </w:p>
    <w:p>
      <w:pPr>
        <w:pStyle w:val="ListBullet"/>
      </w:pPr>
      <w:r>
        <w:t>Im Falle der Annahme: Vertraglicher Nachtrag binnen 30 Tagen</w:t>
      </w:r>
    </w:p>
    <w:p>
      <w:pPr>
        <w:pStyle w:val="Heading3"/>
      </w:pPr>
      <w:r>
        <w:t>Unterschriften</w:t>
      </w:r>
    </w:p>
    <w:p>
      <w:r>
        <w:t>Ort, Datum: Stuttgart, den 22. Mai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