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Rahmenliefervertrag Mercedes-Benz Group AG – Programmportfolio 2022</w:t>
      </w:r>
    </w:p>
    <w:p>
      <w:pPr>
        <w:jc w:val="center"/>
      </w:pPr>
      <w:r>
        <w:t>Master Supply Agreement zwischen Brennhagen Elektronik AG und Mercedes-Benz Group AG</w:t>
      </w:r>
    </w:p>
    <w:p/>
    <w:p>
      <w:pPr>
        <w:pStyle w:val="Heading3"/>
      </w:pPr>
      <w:r>
        <w:t>Vertragsparteien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Praeambel</w:t>
      </w:r>
    </w:p>
    <w:p>
      <w:r>
        <w:t>Die Parteien beabsichtigen, im Rahmen der OEM-Tier-1-Lieferbeziehung mehrere Programme ueber elektronische Steuergeraete der Brennhagen-Produktreihe (ICP-3, BMS-12, ADAS-V4D, ECU-900, LightCtrl-7) abzuwickeln. Dieser Rahmenliefervertrag regelt die uebergeordneten Bedingungen; Einzelheiten zu Stueckzahlen, Preisen, Liefer-Incoterms, Werkszuordnungen und SOP-/EOP-Daten werden in produkt- bzw. programmbezogenen Liefervertraegen (»Einzelvertraege«) sowie monatlichen Lieferabrufen (Forecast + Just-in-Sequence-Calls via EDI VDA 4905 / VDA 4915) verbindlich festgelegt.</w:t>
      </w:r>
    </w:p>
    <w:p>
      <w:pPr>
        <w:pStyle w:val="Heading3"/>
      </w:pPr>
      <w:r>
        <w:t>§ 1 Vertragsgegenstand und Geltung</w:t>
      </w:r>
    </w:p>
    <w:p>
      <w:pPr>
        <w:pStyle w:val="Heading4"/>
      </w:pPr>
      <w:r>
        <w:t>§ 1 Vertragsgegenstand</w:t>
      </w:r>
    </w:p>
    <w:p>
      <w:r>
        <w:rPr>
          <w:b/>
        </w:rPr>
        <w:t xml:space="preserve">(1) </w:t>
      </w:r>
      <w:r>
        <w:t>Brennhagen liefert dem Kunden Elektronik-Komponenten und Steuergeraete fuer Fahrzeugprogramme des Kunden, beginnend mit dem Leitprodukt Radar Fusion Steuergeraet ADAS-V4D. Voraussichtliches Gesamtvolumen ueber die Vertragslaufzeit: ca. 380 Mio. EUR.</w:t>
      </w:r>
    </w:p>
    <w:p>
      <w:r>
        <w:rPr>
          <w:b/>
        </w:rPr>
        <w:t xml:space="preserve">(2) </w:t>
      </w:r>
      <w:r>
        <w:t>Vertragslaufzeit: 2022 bis 2027; Verlaengerung um jeweils 12 Monate, sofern keine Partei spaetestens 9 Monate vor Ablauf schriftlich widerspricht.</w:t>
      </w:r>
    </w:p>
    <w:p>
      <w:r>
        <w:rPr>
          <w:b/>
        </w:rPr>
        <w:t xml:space="preserve">(3) </w:t>
      </w:r>
      <w:r>
        <w:t>Der Vertrag gilt fuer alle Werke und Bedarfsstellen des Kunden weltweit (insbesondere Werk Sindelfingen / Werk Bremen); kundenseitige Konzern-Anschlussbestellungen werden als Lieferabrufe behandelt.</w:t>
      </w:r>
    </w:p>
    <w:p>
      <w:pPr>
        <w:pStyle w:val="Heading4"/>
      </w:pPr>
      <w:r>
        <w:t>§ 2 Mengen und Lieferabruf</w:t>
      </w:r>
    </w:p>
    <w:p>
      <w:r>
        <w:rPr>
          <w:b/>
        </w:rPr>
        <w:t xml:space="preserve">(1) </w:t>
      </w:r>
      <w:r>
        <w:t>Verbindliche Mengen werden ueber rollierende 18-Monats-Forecasts mit gefrorenem 12-Wochen-Horizont (»12-week Frozen Zone«) gemaess VDA 5009 abgestimmt; Lieferabrufe erfolgen wochengenau ueber EDI (VDA 4905 / 4915, ggfs. ANSI X.12 830/862).</w:t>
      </w:r>
    </w:p>
    <w:p>
      <w:r>
        <w:rPr>
          <w:b/>
        </w:rPr>
        <w:t xml:space="preserve">(2) </w:t>
      </w:r>
      <w:r>
        <w:t>Mengenabweichungen +/- 15 % innerhalb des Forecast-Horizonts sind ohne Mehrkostenfolge moeglich; darueber hinausgehende Abweichungen werden gesondert verhandelt (Pass-Through von Material-Eskalations- und Logistik-Mehrkosten).</w:t>
      </w:r>
    </w:p>
    <w:p>
      <w:pPr>
        <w:pStyle w:val="Heading4"/>
      </w:pPr>
      <w:r>
        <w:t>§ 3 Qualitaet und Logistik</w:t>
      </w:r>
    </w:p>
    <w:p>
      <w:r>
        <w:rPr>
          <w:b/>
        </w:rPr>
        <w:t xml:space="preserve">(1) </w:t>
      </w:r>
      <w:r>
        <w:t>Qualitaetsanforderungen gemaess separater Qualitaetssicherungsvereinbarung (QSV) und kundenspezifischer Anforderungen (Customer-Specific Requirements, CSR – siehe Anhang 2). Zielwert ppm &lt; 25 (3-Monatsrollend) fuer Serienlieferungen; ppm &lt; 5 bei Sicherheits-Steuergeraeten (ASIL-D).</w:t>
      </w:r>
    </w:p>
    <w:p>
      <w:r>
        <w:rPr>
          <w:b/>
        </w:rPr>
        <w:t xml:space="preserve">(2) </w:t>
      </w:r>
      <w:r>
        <w:t>Lieferung erfolgt FCA Werk Heilbronn (Incoterms 2020) bzw. nach gesonderter Vereinbarung DAP Kundenwerk. Verpackungsstandard gemaess VDA 4500 (KLT). Notfall-Sondertransporte gehen zu Lasten der verursachenden Partei.</w:t>
      </w:r>
    </w:p>
    <w:p>
      <w:pPr>
        <w:pStyle w:val="Heading4"/>
      </w:pPr>
      <w:r>
        <w:t>§ 4 Preisanpassung und Materialpass-Through</w:t>
      </w:r>
    </w:p>
    <w:p>
      <w:r>
        <w:rPr>
          <w:b/>
        </w:rPr>
        <w:t xml:space="preserve">(1) </w:t>
      </w:r>
      <w:r>
        <w:t>Listenpreis bei Vertragsabschluss: 798.00 EUR / Einheit (Plan-Stueckpreis EXW). Jaehrliche Preisverhandlung (»Annual Productivity Negotiation«) im November des Vorjahres; Brennhagen-Anspruch auf Produktivitaetsbeteiligung ueblicherweise 1,5 - 3 % p. a. deutlich abhaengig von Volumen- und Material-Konjunktur.</w:t>
      </w:r>
    </w:p>
    <w:p>
      <w:r>
        <w:rPr>
          <w:b/>
        </w:rPr>
        <w:t xml:space="preserve">(2) </w:t>
      </w:r>
      <w:r>
        <w:t>Material-Pass-Through-Klausel fuer Halbleiter (Mikrocontroller, Speicher, Leistungs-MOSFETs), Buntmetalle (Kupfer, Aluminium-Lot) und ausgewaehlte Kunststoffe; Quartals-Anpassung anhand definierter Indizes (LME Kupfer, S&amp;P GSCI, Wafer-Indizes). Detailregelung Anhang 3.</w:t>
      </w:r>
    </w:p>
    <w:p>
      <w:r>
        <w:rPr>
          <w:b/>
        </w:rPr>
        <w:t xml:space="preserve">(3) </w:t>
      </w:r>
      <w:r>
        <w:t>Im Ausnahmefall (Force Majeure-aehnlich, Halbleiter-Engpass) sind Ad-hoc-Eskalationspreise schriftlich zu vereinbaren (Eskalation an Vorstand beider Parteien). Brennhagen verpflichtet sich, technische Alternativen (Second-Source / Re-Design) im Anlauffall innerhalb von 90 Tagen zu evaluieren.</w:t>
      </w:r>
    </w:p>
    <w:p>
      <w:pPr>
        <w:pStyle w:val="Heading4"/>
      </w:pPr>
      <w:r>
        <w:t>§ 5 Gewaehrleistung und Haftung</w:t>
      </w:r>
    </w:p>
    <w:p>
      <w:r>
        <w:rPr>
          <w:b/>
        </w:rPr>
        <w:t xml:space="preserve">(1) </w:t>
      </w:r>
      <w:r>
        <w:t>Gewaehrleistungsfrist: 24 Monate ab Inbetriebnahme des Fahrzeugs durch den Endkunden, max. 36 Monate ab Lieferung an den Kunden. Sondergarantien (Sicherheits-Steuergeraete) gemaess Anhang 1.</w:t>
      </w:r>
    </w:p>
    <w:p>
      <w:r>
        <w:rPr>
          <w:b/>
        </w:rPr>
        <w:t xml:space="preserve">(2) </w:t>
      </w:r>
      <w:r>
        <w:t>Haftung fuer mittelbare Schaeden (Rueckrufkosten, Werkstoertage) ist auf 5 Mio. EUR je Schadensereignis sowie 15 Mio. EUR p. a. begrenzt; ueberschreitende Risiken werden durch gemeinsame Produkthaftpflichtversicherung (Allianz Global Corporate &amp; Specialty) abgesichert.</w:t>
      </w:r>
    </w:p>
    <w:p>
      <w:r>
        <w:rPr>
          <w:b/>
        </w:rPr>
        <w:t xml:space="preserve">(3) </w:t>
      </w:r>
      <w:r>
        <w:t>Eskalationsklausel fuer Rueckrufe: Joint Recall Committee binnen 72 h; Kostenteilung nach festgelegtem Verursachungsbeitrag (Root-Cause-Analyse extern, z. B. KPMG-Pruefer).</w:t>
      </w:r>
    </w:p>
    <w:p>
      <w:pPr>
        <w:pStyle w:val="Heading4"/>
      </w:pPr>
      <w:r>
        <w:t>§ 6 Compliance, Nachhaltigkeit, Code of Conduct</w:t>
      </w:r>
    </w:p>
    <w:p>
      <w:r>
        <w:rPr>
          <w:b/>
        </w:rPr>
        <w:t xml:space="preserve">(1) </w:t>
      </w:r>
      <w:r>
        <w:t>Brennhagen bestaetigt die Einhaltung des Mercedes-Benz Group AG-Lieferantenkodex sowie die Verpflichtung zur Einhaltung des Lieferkettensorgfaltspflichtengesetzes (LkSG). CO2-Footprint-Reporting (Scope 1/2/3) jaehrlich gemaess CDP / GRI; CO2-Zielpfad -30 % bis 2030 (Basis 2020).</w:t>
      </w:r>
    </w:p>
    <w:p>
      <w:r>
        <w:rPr>
          <w:b/>
        </w:rPr>
        <w:t xml:space="preserve">(2) </w:t>
      </w:r>
      <w:r>
        <w:t>Mineralien-Compliance (Dodd-Frank, EU-Konfliktmineralien-VO) durch CMRT-Reporting (RMI Conflict Minerals Reporting Template) quartalsweise.</w:t>
      </w:r>
    </w:p>
    <w:p>
      <w:r>
        <w:rPr>
          <w:b/>
        </w:rPr>
        <w:t xml:space="preserve">(3) </w:t>
      </w:r>
      <w:r>
        <w:t>REACH-/RoHS-/IMDS-Reporting fuer alle Stuecklisten obligatorisch; Aenderungen an Materialien werden via PPAP/ECR-Prozess (siehe § 7) freigegeben.</w:t>
      </w:r>
    </w:p>
    <w:p>
      <w:pPr>
        <w:pStyle w:val="Heading4"/>
      </w:pPr>
      <w:r>
        <w:t>§ 7 Aenderungsmanagement (PPAP / ECR)</w:t>
      </w:r>
    </w:p>
    <w:p>
      <w:r>
        <w:rPr>
          <w:b/>
        </w:rPr>
        <w:t xml:space="preserve">(1) </w:t>
      </w:r>
      <w:r>
        <w:t>Saemtliche Aenderungen an Produkten, Werkzeugen, Materialien, Produktionsorten oder Teilelieferanten beduerfen der vorherigen schriftlichen Zustimmung des Kunden im Wege des PPAP (Production Part Approval Process, AIAG / VDA-Band 2) bzw. Engineering Change Request (ECR).</w:t>
      </w:r>
    </w:p>
    <w:p>
      <w:r>
        <w:rPr>
          <w:b/>
        </w:rPr>
        <w:t xml:space="preserve">(2) </w:t>
      </w:r>
      <w:r>
        <w:t>Re-PPAP-Pflicht u. a. bei: Wechsel des Halbleiter-Lieferanten, Werkzeugumzug, Aenderung der Software-Hauptversion, Wechsel des Verguss-/Loetprozesses.</w:t>
      </w:r>
    </w:p>
    <w:p>
      <w:pPr>
        <w:pStyle w:val="Heading4"/>
      </w:pPr>
      <w:r>
        <w:t>§ 8 Schlussbestimmungen</w:t>
      </w:r>
    </w:p>
    <w:p>
      <w:r>
        <w:rPr>
          <w:b/>
        </w:rPr>
        <w:t xml:space="preserve">(1) </w:t>
      </w:r>
      <w:r>
        <w:t>Anwendbares Recht: Deutsches Recht unter Ausschluss des UN-Kaufrechts (CISG). Gerichtsstand: Stuttgart; alternativ Schiedsverfahren nach DIS-Schiedsordnung (Sitz Frankfurt am Main) ab Streitwert 5 Mio. EUR.</w:t>
      </w:r>
    </w:p>
    <w:p>
      <w:r>
        <w:rPr>
          <w:b/>
        </w:rPr>
        <w:t xml:space="preserve">(2) </w:t>
      </w:r>
      <w:r>
        <w:t>Vertraulichkeitsvereinbarung gemaess Anhang 4 (Laufzeit 10 Jahre nach Vertragsende). Aenderungen dieses Rahmenvertrages beduerfen der Schriftform; muendliche Nebenabreden bestehen nicht.</w:t>
      </w:r>
    </w:p>
    <w:p>
      <w:r>
        <w:rPr>
          <w:b/>
        </w:rPr>
        <w:t xml:space="preserve">(3) </w:t>
      </w:r>
      <w:r>
        <w:t>Vorrangregelung: (1) Einzelvertraege; (2) Lieferabrufe; (3) dieser Rahmenvertrag; (4) Allgemeine Einkaufsbedingungen des Kunden.</w:t>
      </w:r>
    </w:p>
    <w:p>
      <w:pPr>
        <w:pStyle w:val="Heading3"/>
      </w:pPr>
      <w:r>
        <w:t>Anlagen</w:t>
      </w:r>
    </w:p>
    <w:p>
      <w:pPr>
        <w:pStyle w:val="ListBullet"/>
      </w:pPr>
      <w:r>
        <w:t>Anlage 1: Sicherheitsanforderungen ISO 26262 / SOTIF (ISO 21448) – produktspezifisch</w:t>
      </w:r>
    </w:p>
    <w:p>
      <w:pPr>
        <w:pStyle w:val="ListBullet"/>
      </w:pPr>
      <w:r>
        <w:t>Anlage 2: Qualitaetssicherungsvereinbarung (QSV) und Customer-Specific Requirements</w:t>
      </w:r>
    </w:p>
    <w:p>
      <w:pPr>
        <w:pStyle w:val="ListBullet"/>
      </w:pPr>
      <w:r>
        <w:t>Anlage 3: Material-Pass-Through-Klausel mit Indizes-Definitionen</w:t>
      </w:r>
    </w:p>
    <w:p>
      <w:pPr>
        <w:pStyle w:val="ListBullet"/>
      </w:pPr>
      <w:r>
        <w:t>Anlage 4: Vertraulichkeitsvereinbarung (NDA) – Laufzeit 10 J.</w:t>
      </w:r>
    </w:p>
    <w:p>
      <w:pPr>
        <w:pStyle w:val="ListBullet"/>
      </w:pPr>
      <w:r>
        <w:t>Anlage 5: Liste der zugelassenen Werke und Sub-Lieferanten (Approved Vendor List, AVL)</w:t>
      </w:r>
    </w:p>
    <w:p>
      <w:pPr>
        <w:pStyle w:val="Heading3"/>
      </w:pPr>
      <w:r>
        <w:t>Unterschriften</w:t>
      </w:r>
    </w:p>
    <w:p>
      <w:r>
        <w:t>Ort, Datum: Stuttgart, den 14. Maerz 2022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