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Radar Fusion Steuergeraet ADAS-V4D – 2022 Q2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STE-ADAS-V4D-2022; Fertigungswerk Brennhagen Elektronik GmbH (REG), Heilbronn – Linie 1; Software-Stack RSG Muenchen (ASPICE Level 3); SOP-Status Q2 2023;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24.557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STE-ADAS-V4D liegt im Quartal 2022 Q2 im Wesentlichen im Plan. Die geplante Liefermenge wurde mit 162 %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97.8 %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