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Radar Fusion Steuergeraet ADAS-V4D – 2022 Q3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STE-ADAS-V4D-2022; Fertigungswerk Brennhagen Elektronik GmbH (REG), Heilbronn – Linie 1; Software-Stack RSG Muenchen (ASPICE Level 3); SOP-Status Q2 2023;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21.565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16.3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94.7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STE-ADAS-V4D liegt im Quartal 2022 Q3 im Wesentlichen im Plan. Die geplante Liefermenge wurde mit 99 %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94.7 %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