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STE – Radar Fusion Steuergeraet ADAS-V4D – 2023 Q1</w:t>
      </w:r>
    </w:p>
    <w:p>
      <w:pPr>
        <w:jc w:val="center"/>
      </w:pPr>
      <w:r>
        <w:t>Programm-Statusbericht zwischen Brennhagen Elektronik AG und Stellantis N.V.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Mme. Catherine Mercier (Global Commodity Manager Electronics), Herr Frank Witzel (Ruesselsheim) (SQE), Sig. Giuseppe Rossi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STE-ADAS-V4D-2023; Fertigungswerk Brennhagen Elektronik GmbH (REG), Heilbronn – Linie 1; Software-Stack RSG Muenchen (ASPICE Level 3); SOP-Status Q2 2023; aktuelle Berichtsperiode: 2023 Q1.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21.945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16.8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95.1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7.6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STE-ADAS-V4D liegt im Quartal 2023 Q1 im Wesentlichen im Plan. Die geplante Liefermenge wurde mit 107 %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95.1 % (Ziel &gt; 98,5 %). Sondertransporte: 0 (Vorquartal: 0), Kosten 18-32 TEUR – traegt Brennhagen. Frozen-Zone-Adherence durch Kunde 92 %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2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STE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Frank Witzel (Ruesselsheim)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15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Q1-Ende 2023 + 14 AT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