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Radar Fusion Steuergeraet ADAS-V4D – 2023 Q2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STE-ADAS-V4D-2023; Fertigungswerk Brennhagen Elektronik GmbH (REG), Heilbronn – Linie 1; Software-Stack RSG Muenchen (ASPICE Level 3); SOP-Status Q2 2023;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24.605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97.9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STE-ADAS-V4D liegt im Quartal 2023 Q2 im Wesentlichen im Plan. Die geplante Liefermenge wurde mit 163 %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97.9 %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