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Radar Fusion Steuergeraet ADAS-V4D – 2023 Q3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STE-ADAS-V4D-2023; Fertigungswerk Brennhagen Elektronik GmbH (REG), Heilbronn – Linie 1; Software-Stack RSG Muenchen (ASPICE Level 3); SOP-Status Q2 2023;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23.037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18.1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STE-ADAS-V4D liegt im Quartal 2023 Q3 im Wesentlichen im Plan. Die geplante Liefermenge wurde mit 130 %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96.2 % (Ziel &gt; 98,5 %). Sondertransporte: 1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