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Radar Fusion Steuergeraet ADAS-V4D – 2023 Q4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STE-ADAS-V4D-2023; Fertigungswerk Brennhagen Elektronik GmbH (REG), Heilbronn – Linie 1; Software-Stack RSG Muenchen (ASPICE Level 3); SOP-Status Q2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22.990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STE-ADAS-V4D liegt im Quartal 2023 Q4 im Wesentlichen im Plan. Die geplante Liefermenge wurde mit 129 %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96.2 %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