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STE-BMS-12-ECR-2022-002</w:t>
      </w:r>
    </w:p>
    <w:p>
      <w:pPr>
        <w:jc w:val="center"/>
      </w:pPr>
      <w:r>
        <w:t>Aenderungsantrag im Rahmen Programm STE-BMS-12-2022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STE-BMS-12-ECR-2022-002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STE-BMS-12-2022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