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STE-BMS-12-ECR-2023-001</w:t>
      </w:r>
    </w:p>
    <w:p>
      <w:pPr>
        <w:jc w:val="center"/>
      </w:pPr>
      <w:r>
        <w:t>Aenderungsantrag im Rahmen Programm STE-BMS-12-2023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STE-BMS-12-ECR-2023-001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STE-BMS-12-2023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15.03.2023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A (kritisch, vor SOP umzusetzen)</w:t>
            </w:r>
          </w:p>
        </w:tc>
      </w:tr>
    </w:tbl>
    <w:p>
      <w:pPr>
        <w:pStyle w:val="Heading3"/>
      </w:pPr>
      <w:r>
        <w:t>Aenderungsbeschreibung</w:t>
      </w:r>
    </w:p>
    <w:p>
      <w:r>
        <w:t>Software-Patch v2.5.0: Anpassung der Diagnose-Routine (DTC-Erweiterung um 14 neue Trouble-Codes), neue UDS-Service-IDs gemaess Kunden-Spezifikation 14-AS-2310.2 Rev. C. Lastenheft-Auszug siehe Anhang.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0,00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Maerz 2023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