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Engineering Change Request STE-ECU-900-ECR-2023-003</w:t>
      </w:r>
    </w:p>
    <w:p>
      <w:pPr>
        <w:jc w:val="center"/>
      </w:pPr>
      <w:r>
        <w:t>Aenderungsantrag im Rahmen Programm STE-ECU-900-2023</w:t>
      </w:r>
    </w:p>
    <w:p/>
    <w:p>
      <w:pPr>
        <w:pStyle w:val="Heading3"/>
      </w:pPr>
      <w:r>
        <w:t>Adressat / Vorgang</w:t>
      </w:r>
    </w:p>
    <w:p>
      <w:r>
        <w:t>Empfaengerin:</w:t>
        <w:br/>
        <w:t>Stellantis N.V. (vertreten durch FCA Italy S.p.A. und PSA Automobiles SAS)</w:t>
        <w:br/>
        <w:t>Singaporestraat 92-100, 1175 RA Lijnden, Niederlande</w:t>
      </w:r>
    </w:p>
    <w:p>
      <w:r>
        <w:t>Ansprechpartner Einkauf: Mme. Catherine Mercier (Global Commodity Manager Electronics)</w:t>
        <w:br/>
        <w:t>Werk / Bedarfsstelle: Werk Mirafiori (Turin) / Werk Sochaux</w:t>
      </w:r>
    </w:p>
    <w:p>
      <w:r>
        <w:t>Absender:</w:t>
        <w:br/>
        <w:t>Brennhagen Elektronik AG, Vaihinger Straße 120, 70567 Stuttgart</w:t>
        <w:br/>
        <w:t>Verantwortlich: Stefan Richter (CMO / BD), Key-Account-Management OEM</w:t>
        <w:br/>
        <w:t>In Kopie: Anna Mueller (CEO), Laura Bauer (CFO)</w:t>
      </w:r>
    </w:p>
    <w:p>
      <w:pPr>
        <w:pStyle w:val="Heading3"/>
      </w:pPr>
      <w:r>
        <w:t>ECR-Identifikation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Position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ECR-Nummer</w:t>
            </w:r>
          </w:p>
        </w:tc>
        <w:tc>
          <w:tcPr>
            <w:tcW w:type="dxa" w:w="4320"/>
          </w:tcPr>
          <w:p>
            <w:r>
              <w:t>STE-ECU-900-ECR-2023-003</w:t>
            </w:r>
          </w:p>
        </w:tc>
      </w:tr>
      <w:tr>
        <w:tc>
          <w:tcPr>
            <w:tcW w:type="dxa" w:w="4320"/>
          </w:tcPr>
          <w:p>
            <w:r>
              <w:t>Programm</w:t>
            </w:r>
          </w:p>
        </w:tc>
        <w:tc>
          <w:tcPr>
            <w:tcW w:type="dxa" w:w="4320"/>
          </w:tcPr>
          <w:p>
            <w:r>
              <w:t>STE-ECU-900-2023</w:t>
            </w:r>
          </w:p>
        </w:tc>
      </w:tr>
      <w:tr>
        <w:tc>
          <w:tcPr>
            <w:tcW w:type="dxa" w:w="4320"/>
          </w:tcPr>
          <w:p>
            <w:r>
              <w:t>Produkt</w:t>
            </w:r>
          </w:p>
        </w:tc>
        <w:tc>
          <w:tcPr>
            <w:tcW w:type="dxa" w:w="4320"/>
          </w:tcPr>
          <w:p>
            <w:r>
              <w:t>Powertrain-ECU Gen3 (ECU-900)</w:t>
            </w:r>
          </w:p>
        </w:tc>
      </w:tr>
      <w:tr>
        <w:tc>
          <w:tcPr>
            <w:tcW w:type="dxa" w:w="4320"/>
          </w:tcPr>
          <w:p>
            <w:r>
              <w:t>Stand</w:t>
            </w:r>
          </w:p>
        </w:tc>
        <w:tc>
          <w:tcPr>
            <w:tcW w:type="dxa" w:w="4320"/>
          </w:tcPr>
          <w:p>
            <w:r>
              <w:t>Eingang Kunde: 22.09.2023</w:t>
            </w:r>
          </w:p>
        </w:tc>
      </w:tr>
      <w:tr>
        <w:tc>
          <w:tcPr>
            <w:tcW w:type="dxa" w:w="4320"/>
          </w:tcPr>
          <w:p>
            <w:r>
              <w:t>Initiator</w:t>
            </w:r>
          </w:p>
        </w:tc>
        <w:tc>
          <w:tcPr>
            <w:tcW w:type="dxa" w:w="4320"/>
          </w:tcPr>
          <w:p>
            <w:r>
              <w:t>Brennhagen (Wertanalyse)</w:t>
            </w:r>
          </w:p>
        </w:tc>
      </w:tr>
      <w:tr>
        <w:tc>
          <w:tcPr>
            <w:tcW w:type="dxa" w:w="4320"/>
          </w:tcPr>
          <w:p>
            <w:r>
              <w:t>Prioritaet</w:t>
            </w:r>
          </w:p>
        </w:tc>
        <w:tc>
          <w:tcPr>
            <w:tcW w:type="dxa" w:w="4320"/>
          </w:tcPr>
          <w:p>
            <w:r>
              <w:t>B (mittel)</w:t>
            </w:r>
          </w:p>
        </w:tc>
      </w:tr>
    </w:tbl>
    <w:p>
      <w:pPr>
        <w:pStyle w:val="Heading3"/>
      </w:pPr>
      <w:r>
        <w:t>Aenderungsbeschreibung</w:t>
      </w:r>
    </w:p>
    <w:p>
      <w:r>
        <w:t>Materialwechsel Power-MOSFET von Infineon IPB019N08N3G auf Infineon IAUC100N04S6L wegen Allokations-Risiko und besseren thermischen Eigenschaften (RDS_on -8 %). Stueckkostenanpassung -0,18 EUR. Re-PPAP Level 2.</w:t>
      </w:r>
    </w:p>
    <w:p>
      <w:pPr>
        <w:pStyle w:val="Heading3"/>
      </w:pPr>
      <w:r>
        <w:t>Auswirkungen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Bereich</w:t>
            </w:r>
          </w:p>
        </w:tc>
        <w:tc>
          <w:tcPr>
            <w:tcW w:type="dxa" w:w="4320"/>
          </w:tcPr>
          <w:p>
            <w:r>
              <w:t>Auswirkung</w:t>
            </w:r>
          </w:p>
        </w:tc>
      </w:tr>
      <w:tr>
        <w:tc>
          <w:tcPr>
            <w:tcW w:type="dxa" w:w="4320"/>
          </w:tcPr>
          <w:p>
            <w:r>
              <w:t>Funktion / Performance</w:t>
            </w:r>
          </w:p>
        </w:tc>
        <w:tc>
          <w:tcPr>
            <w:tcW w:type="dxa" w:w="4320"/>
          </w:tcPr>
          <w:p>
            <w:r>
              <w:t>Verbesserung bzw. unveraendert</w:t>
            </w:r>
          </w:p>
        </w:tc>
      </w:tr>
      <w:tr>
        <w:tc>
          <w:tcPr>
            <w:tcW w:type="dxa" w:w="4320"/>
          </w:tcPr>
          <w:p>
            <w:r>
              <w:t>Sicherheit (ISO 26262)</w:t>
            </w:r>
          </w:p>
        </w:tc>
        <w:tc>
          <w:tcPr>
            <w:tcW w:type="dxa" w:w="4320"/>
          </w:tcPr>
          <w:p>
            <w:r>
              <w:t>Re-Validation auf ASIL-C-Level (Safety Case Update)</w:t>
            </w:r>
          </w:p>
        </w:tc>
      </w:tr>
      <w:tr>
        <w:tc>
          <w:tcPr>
            <w:tcW w:type="dxa" w:w="4320"/>
          </w:tcPr>
          <w:p>
            <w:r>
              <w:t>Werkzeugaufwand (EUR)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NRE Engineering (EUR)</w:t>
            </w:r>
          </w:p>
        </w:tc>
        <w:tc>
          <w:tcPr>
            <w:tcW w:type="dxa" w:w="4320"/>
          </w:tcPr>
          <w:p>
            <w:r>
              <w:t>28.000</w:t>
            </w:r>
          </w:p>
        </w:tc>
      </w:tr>
      <w:tr>
        <w:tc>
          <w:tcPr>
            <w:tcW w:type="dxa" w:w="4320"/>
          </w:tcPr>
          <w:p>
            <w:r>
              <w:t>Stueckkostenaenderung (EUR)</w:t>
            </w:r>
          </w:p>
        </w:tc>
        <w:tc>
          <w:tcPr>
            <w:tcW w:type="dxa" w:w="4320"/>
          </w:tcPr>
          <w:p>
            <w:r>
              <w:t>-0,18</w:t>
            </w:r>
          </w:p>
        </w:tc>
      </w:tr>
      <w:tr>
        <w:tc>
          <w:tcPr>
            <w:tcW w:type="dxa" w:w="4320"/>
          </w:tcPr>
          <w:p>
            <w:r>
              <w:t>Implementierungsdauer</w:t>
            </w:r>
          </w:p>
        </w:tc>
        <w:tc>
          <w:tcPr>
            <w:tcW w:type="dxa" w:w="4320"/>
          </w:tcPr>
          <w:p>
            <w:r>
              <w:t>6 Wochen</w:t>
            </w:r>
          </w:p>
        </w:tc>
      </w:tr>
      <w:tr>
        <w:tc>
          <w:tcPr>
            <w:tcW w:type="dxa" w:w="4320"/>
          </w:tcPr>
          <w:p>
            <w:r>
              <w:t>PPAP-Level</w:t>
            </w:r>
          </w:p>
        </w:tc>
        <w:tc>
          <w:tcPr>
            <w:tcW w:type="dxa" w:w="4320"/>
          </w:tcPr>
          <w:p>
            <w:r>
              <w:t>Level 2</w:t>
            </w:r>
          </w:p>
        </w:tc>
      </w:tr>
    </w:tbl>
    <w:p>
      <w:pPr>
        <w:pStyle w:val="Heading3"/>
      </w:pPr>
      <w:r>
        <w:t>Stellungnahme Brennhagen</w:t>
      </w:r>
    </w:p>
    <w:p>
      <w:r>
        <w:t>Die beantragte Aenderung ist technisch und qualitativ umsetzbar. Die unter »Auswirkungen« ausgewiesenen Werkzeug- und NRE-Kosten werden dem Kunden gemaess Rahmenliefervertrag § 7 in Rechnung gestellt. Stueckkostenaenderung wird ab erfolgreichem PPAP-Approval wirksam. Brennhagen empfiehlt Annahme. Risiken: Halbleiter-Allokation IAUC100N04S6L (Infineon bestaetigt Liefersicherheit; LOA bis 2030 vorliegend).</w:t>
      </w:r>
    </w:p>
    <w:p>
      <w:pPr>
        <w:pStyle w:val="Heading3"/>
      </w:pPr>
      <w:r>
        <w:t>Naechste Schritte</w:t>
      </w:r>
    </w:p>
    <w:p>
      <w:pPr>
        <w:pStyle w:val="ListBullet"/>
      </w:pPr>
      <w:r>
        <w:t>Freigabe ECR durch Kunden-Konstruktionsleitung erforderlich</w:t>
      </w:r>
    </w:p>
    <w:p>
      <w:pPr>
        <w:pStyle w:val="ListBullet"/>
      </w:pPr>
      <w:r>
        <w:t>Kostenstellungnahme Brennhagen: bereits in Kommerziellem Angebot enthalten</w:t>
      </w:r>
    </w:p>
    <w:p>
      <w:pPr>
        <w:pStyle w:val="ListBullet"/>
      </w:pPr>
      <w:r>
        <w:t>Erstmusterlieferung Re-PPAP: +8 Wochen ab Freigabe</w:t>
      </w:r>
    </w:p>
    <w:p>
      <w:pPr>
        <w:pStyle w:val="ListBullet"/>
      </w:pPr>
      <w:r>
        <w:t>Serienanlauf nach erfolgreichem PPAP: +12 Wochen ab Freigabe</w:t>
      </w:r>
    </w:p>
    <w:p>
      <w:pPr>
        <w:pStyle w:val="ListBullet"/>
      </w:pPr>
      <w:r>
        <w:t>Reporting im naechsten QBR</w:t>
      </w:r>
    </w:p>
    <w:p>
      <w:pPr>
        <w:pStyle w:val="Heading3"/>
      </w:pPr>
      <w:r>
        <w:t>Unterschriften</w:t>
      </w:r>
    </w:p>
    <w:p>
      <w:r>
        <w:t>Ort, Datum: Stuttgart, den 30. September 2023</w:t>
      </w:r>
    </w:p>
    <w:p>
      <w:r>
        <w:t>_________________________            _________________________</w:t>
        <w:br/>
        <w:t>Stefan Richter                          Mme. Catherine Mercier</w:t>
        <w:br/>
        <w:t>CMO / BD                          Global Commodity Manager Electronics</w:t>
        <w:br/>
        <w:t>Brennhagen Elektronik AG                       Stellantis N.V. (vertreten durch FCA Italy S.p.A. und PSA Automobiles SAS)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